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E7" w:rsidRPr="00376408" w:rsidRDefault="005D70E7" w:rsidP="005D70E7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5D70E7" w:rsidRPr="00376408" w:rsidRDefault="005D70E7" w:rsidP="005D70E7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D-01.02.04</w:t>
      </w:r>
    </w:p>
    <w:p w:rsidR="005D70E7" w:rsidRPr="00376408" w:rsidRDefault="005D70E7" w:rsidP="005D70E7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5D70E7" w:rsidRPr="00376408" w:rsidRDefault="005D70E7" w:rsidP="005D70E7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ROZBIÓRKA ELEMENTÓW DRÓG, OGRODZEŃ</w:t>
      </w:r>
    </w:p>
    <w:p w:rsidR="005D70E7" w:rsidRPr="00376408" w:rsidRDefault="005D70E7" w:rsidP="005D70E7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I PRZEPUSTÓW</w:t>
      </w:r>
    </w:p>
    <w:p w:rsidR="005D70E7" w:rsidRPr="00376408" w:rsidRDefault="005D70E7" w:rsidP="005D70E7">
      <w:pPr>
        <w:pStyle w:val="Standardowytekst"/>
        <w:pBdr>
          <w:bottom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5D70E7" w:rsidRPr="00376408" w:rsidRDefault="005D70E7" w:rsidP="005D70E7">
      <w:pP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D70E7" w:rsidRPr="00376408" w:rsidRDefault="005D70E7" w:rsidP="005D70E7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r>
        <w:fldChar w:fldCharType="begin"/>
      </w:r>
      <w:r>
        <w:instrText>HYPERLINK "file:///E:\\OST\\DROGOWE%20ROBOTY%20INWESTYCYJNE%20%202.12\\ost\\Przygotowawcze\\d010000.htm" \l "_1._WSTĘP_4"</w:instrText>
      </w:r>
      <w:r>
        <w:fldChar w:fldCharType="separate"/>
      </w:r>
      <w:r w:rsidR="005D70E7" w:rsidRPr="00376408">
        <w:rPr>
          <w:rStyle w:val="Hipercze"/>
          <w:rFonts w:ascii="Arial" w:hAnsi="Arial" w:cs="Arial"/>
          <w:b/>
          <w:bCs/>
          <w:color w:val="3366FF"/>
        </w:rPr>
        <w:t>1. WSTĘP</w:t>
      </w:r>
      <w:r>
        <w:fldChar w:fldCharType="end"/>
      </w:r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5" w:anchor="_2._MATERIAŁY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2. MATERIAŁY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6" w:anchor="_3._SPRZĘT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3. SPRZĘT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7" w:anchor="_4._TRANSPORT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4. TRANSPORT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8" w:anchor="_5._WYKONANIE_ROBÓT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5. WYKONANIE ROBÓT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9" w:anchor="_6._KONTROLA_JAKOŚCI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6. KONTROLA JAKOŚCI ROBÓT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10" w:anchor="_7._OBMIAR_ROBÓT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7. OBMIAR ROBÓT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11" w:anchor="_8._ODBIÓR_ROBÓT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8. ODBIÓR ROBÓT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  <w:b/>
          <w:bCs/>
          <w:color w:val="3366FF"/>
        </w:rPr>
      </w:pPr>
      <w:hyperlink r:id="rId12" w:anchor="_9._PODSTAWA_PŁATNOŚCI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9. PODSTAWA PŁATNOŚCI</w:t>
        </w:r>
      </w:hyperlink>
    </w:p>
    <w:p w:rsidR="005D70E7" w:rsidRPr="00376408" w:rsidRDefault="003610B1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hyperlink r:id="rId13" w:anchor="_10._PRZEPISY_ZWIĄZANE_4" w:history="1">
        <w:r w:rsidR="005D70E7" w:rsidRPr="00376408">
          <w:rPr>
            <w:rStyle w:val="Hipercze"/>
            <w:rFonts w:ascii="Arial" w:hAnsi="Arial" w:cs="Arial"/>
            <w:b/>
            <w:bCs/>
            <w:color w:val="3366FF"/>
          </w:rPr>
          <w:t>10. PRZEPISY ZWIĄZANE</w:t>
        </w:r>
      </w:hyperlink>
    </w:p>
    <w:p w:rsidR="005D70E7" w:rsidRPr="00376408" w:rsidRDefault="005D70E7" w:rsidP="005D70E7">
      <w:pPr>
        <w:pStyle w:val="Stopka"/>
        <w:pBdr>
          <w:bottom w:val="single" w:sz="4" w:space="1" w:color="auto"/>
        </w:pBdr>
        <w:tabs>
          <w:tab w:val="clear" w:pos="4536"/>
          <w:tab w:val="right" w:leader="dot" w:pos="-1985"/>
          <w:tab w:val="left" w:pos="0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D70E7" w:rsidRPr="00376408" w:rsidRDefault="005D70E7" w:rsidP="005D70E7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0" w:name="_1__WSTĘP_4"/>
      <w:bookmarkEnd w:id="0"/>
      <w:r w:rsidRPr="00376408">
        <w:rPr>
          <w:rFonts w:ascii="Arial" w:hAnsi="Arial" w:cs="Arial"/>
          <w:color w:val="3366FF"/>
        </w:rPr>
        <w:t>1. WSTĘP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1.1.Przedmiot OST</w:t>
      </w:r>
    </w:p>
    <w:p w:rsidR="005D70E7" w:rsidRPr="00376408" w:rsidRDefault="005D70E7" w:rsidP="005D70E7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Przedmiotem niniejszej ogólnej specyfikacji technicznej (OST) są wymagania dotyczące wykonania i odbioru robót związanych z rozbiórką elementów dróg, ogrodzeń i przepustów. 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5D70E7" w:rsidRPr="00376408" w:rsidRDefault="005D70E7" w:rsidP="005D70E7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5D70E7" w:rsidRPr="00376408" w:rsidRDefault="005D70E7" w:rsidP="005D70E7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rozbiórką: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warstw nawierzchni,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krawężników, obrzeży i oporników,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ścieków,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 chodników,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ogrodzeń,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barier i poręczy,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znaków drogowych,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przepustów: betonowych, żelbetowych, kamiennych, ceglanych itp.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1.4. Określenia podstawowe</w:t>
      </w:r>
    </w:p>
    <w:p w:rsidR="005D70E7" w:rsidRPr="00376408" w:rsidRDefault="005D70E7" w:rsidP="005D70E7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Stosowane określenia podstawowe są zgodne z obowiązującymi, odpowiednimi polskimi normami oraz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1" w:name="_2__MATERIAŁY_4"/>
      <w:bookmarkEnd w:id="1"/>
      <w:r w:rsidRPr="00376408">
        <w:rPr>
          <w:rFonts w:ascii="Arial" w:hAnsi="Arial" w:cs="Arial"/>
          <w:color w:val="3366FF"/>
        </w:rPr>
        <w:t>2. MATERIAŁY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wymagania dotyczące materiałów, ich pozyskiwania i składowania,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Rusztowania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Rusztowania robocze przestawne przy rozbiórce przepustów mogą być wykonane z drewna lub rur stalowych w postaci: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376408">
          <w:rPr>
            <w:rFonts w:ascii="Arial" w:hAnsi="Arial" w:cs="Arial"/>
          </w:rPr>
          <w:t>1,5 m</w:t>
        </w:r>
      </w:smartTag>
      <w:r w:rsidRPr="00376408">
        <w:rPr>
          <w:rFonts w:ascii="Arial" w:hAnsi="Arial" w:cs="Arial"/>
        </w:rP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376408">
          <w:rPr>
            <w:rFonts w:ascii="Arial" w:hAnsi="Arial" w:cs="Arial"/>
          </w:rPr>
          <w:t>12,5 cm</w:t>
        </w:r>
      </w:smartTag>
      <w:r w:rsidRPr="00376408">
        <w:rPr>
          <w:rFonts w:ascii="Arial" w:hAnsi="Arial" w:cs="Arial"/>
        </w:rP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376408">
          <w:rPr>
            <w:rFonts w:ascii="Arial" w:hAnsi="Arial" w:cs="Arial"/>
          </w:rPr>
          <w:t>7,6 cm</w:t>
        </w:r>
      </w:smartTag>
      <w:r w:rsidRPr="00376408">
        <w:rPr>
          <w:rFonts w:ascii="Arial" w:hAnsi="Arial" w:cs="Arial"/>
        </w:rP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376408">
          <w:rPr>
            <w:rFonts w:ascii="Arial" w:hAnsi="Arial" w:cs="Arial"/>
          </w:rPr>
          <w:t>12,5 cm</w:t>
        </w:r>
      </w:smartTag>
      <w:r w:rsidRPr="00376408">
        <w:rPr>
          <w:rFonts w:ascii="Arial" w:hAnsi="Arial" w:cs="Arial"/>
        </w:rPr>
        <w:t>) i pomostu z desek,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376408">
          <w:rPr>
            <w:rFonts w:ascii="Arial" w:hAnsi="Arial" w:cs="Arial"/>
          </w:rPr>
          <w:t>6 m</w:t>
        </w:r>
      </w:smartTag>
      <w:r w:rsidRPr="00376408">
        <w:rPr>
          <w:rFonts w:ascii="Arial" w:hAnsi="Arial" w:cs="Arial"/>
        </w:rP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376408">
          <w:rPr>
            <w:rFonts w:ascii="Arial" w:hAnsi="Arial" w:cs="Arial"/>
          </w:rPr>
          <w:t>52 cm</w:t>
        </w:r>
      </w:smartTag>
      <w:r w:rsidRPr="00376408">
        <w:rPr>
          <w:rFonts w:ascii="Arial" w:hAnsi="Arial" w:cs="Arial"/>
        </w:rP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376408">
          <w:rPr>
            <w:rFonts w:ascii="Arial" w:hAnsi="Arial" w:cs="Arial"/>
          </w:rPr>
          <w:t>12,5 cm</w:t>
        </w:r>
      </w:smartTag>
      <w:r w:rsidRPr="00376408">
        <w:rPr>
          <w:rFonts w:ascii="Arial" w:hAnsi="Arial" w:cs="Arial"/>
        </w:rP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376408">
          <w:rPr>
            <w:rFonts w:ascii="Arial" w:hAnsi="Arial" w:cs="Arial"/>
          </w:rPr>
          <w:t>6,3 cm</w:t>
        </w:r>
      </w:smartTag>
      <w:r w:rsidRPr="00376408">
        <w:rPr>
          <w:rFonts w:ascii="Arial" w:hAnsi="Arial" w:cs="Arial"/>
        </w:rPr>
        <w:t>) układa się pomosty z desek,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przestawnych klatek </w:t>
      </w:r>
      <w:proofErr w:type="spellStart"/>
      <w:r w:rsidRPr="00376408">
        <w:rPr>
          <w:rFonts w:ascii="Arial" w:hAnsi="Arial" w:cs="Arial"/>
        </w:rPr>
        <w:t>rusztowaniowych</w:t>
      </w:r>
      <w:proofErr w:type="spellEnd"/>
      <w:r w:rsidRPr="00376408">
        <w:rPr>
          <w:rFonts w:ascii="Arial" w:hAnsi="Arial" w:cs="Arial"/>
        </w:rP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376408">
          <w:rPr>
            <w:rFonts w:ascii="Arial" w:hAnsi="Arial" w:cs="Arial"/>
          </w:rPr>
          <w:t>63,5 mm</w:t>
        </w:r>
      </w:smartTag>
      <w:r w:rsidRPr="00376408">
        <w:rPr>
          <w:rFonts w:ascii="Arial" w:hAnsi="Arial" w:cs="Arial"/>
        </w:rP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376408">
          <w:rPr>
            <w:rFonts w:ascii="Arial" w:hAnsi="Arial" w:cs="Arial"/>
          </w:rPr>
          <w:t>1,5 m</w:t>
        </w:r>
      </w:smartTag>
      <w:r w:rsidRPr="00376408">
        <w:rPr>
          <w:rFonts w:ascii="Arial" w:hAnsi="Arial" w:cs="Arial"/>
        </w:rPr>
        <w:t xml:space="preserve"> lub płaskich klatek </w:t>
      </w:r>
      <w:proofErr w:type="spellStart"/>
      <w:r w:rsidRPr="00376408">
        <w:rPr>
          <w:rFonts w:ascii="Arial" w:hAnsi="Arial" w:cs="Arial"/>
        </w:rPr>
        <w:t>rusztowaniowych</w:t>
      </w:r>
      <w:proofErr w:type="spellEnd"/>
      <w:r w:rsidRPr="00376408">
        <w:rPr>
          <w:rFonts w:ascii="Arial" w:hAnsi="Arial" w:cs="Arial"/>
        </w:rP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376408">
          <w:rPr>
            <w:rFonts w:ascii="Arial" w:hAnsi="Arial" w:cs="Arial"/>
          </w:rPr>
          <w:t>108 mm</w:t>
        </w:r>
      </w:smartTag>
      <w:r w:rsidRPr="00376408">
        <w:rPr>
          <w:rFonts w:ascii="Arial" w:hAnsi="Arial" w:cs="Arial"/>
        </w:rP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>5 mm</w:t>
        </w:r>
      </w:smartTag>
      <w:r w:rsidRPr="00376408">
        <w:rPr>
          <w:rFonts w:ascii="Arial" w:hAnsi="Arial" w:cs="Arial"/>
        </w:rPr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376408">
          <w:rPr>
            <w:rFonts w:ascii="Arial" w:hAnsi="Arial" w:cs="Arial"/>
          </w:rPr>
          <w:t>7 mm</w:t>
        </w:r>
      </w:smartTag>
      <w:r w:rsidRPr="00376408">
        <w:rPr>
          <w:rFonts w:ascii="Arial" w:hAnsi="Arial" w:cs="Arial"/>
        </w:rP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376408">
          <w:rPr>
            <w:rFonts w:ascii="Arial" w:hAnsi="Arial" w:cs="Arial"/>
          </w:rPr>
          <w:t>1,5 m</w:t>
        </w:r>
      </w:smartTag>
      <w:r w:rsidRPr="00376408">
        <w:rPr>
          <w:rFonts w:ascii="Arial" w:hAnsi="Arial" w:cs="Arial"/>
        </w:rPr>
        <w:t>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376408">
          <w:rPr>
            <w:rFonts w:ascii="Arial" w:hAnsi="Arial" w:cs="Arial"/>
          </w:rPr>
          <w:t>76,1 mm</w:t>
        </w:r>
      </w:smartTag>
      <w:r w:rsidRPr="00376408">
        <w:rPr>
          <w:rFonts w:ascii="Arial" w:hAnsi="Arial" w:cs="Arial"/>
        </w:rPr>
        <w:t xml:space="preserve"> połączonych łącznikami w ramownice i kratownice.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Rusztowanie należy wykonać z materiałów odpowiadających następującym normom: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drewno i tarcica wg PN-D-95017 [1], PN-D-96000 [2], PN-D-96002 [3] lub innej zaakceptowanej przez Inżyniera,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gwoździe wg BN-87/5028-12 [8],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rury stalowe wg PN-H-74219 [4], PN-H-74220 [5] lub innej zaakceptowanej przez Inżyniera,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kątowniki wg PN-H-93401[6], PN-H-93402 [7] lub innej zaakceptowanej przez Inżyniera.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2" w:name="_3__SPRZĘT_4"/>
      <w:bookmarkEnd w:id="2"/>
      <w:r w:rsidRPr="00376408">
        <w:rPr>
          <w:rFonts w:ascii="Arial" w:hAnsi="Arial" w:cs="Arial"/>
          <w:color w:val="3366FF"/>
        </w:rPr>
        <w:t>3. SPRZĘT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rozbiórki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wykonania robót związanych z rozbiórką elementów dróg, ogrodzeń i przepustów może być wykorzystany sprzęt podany poniżej, lub inny zaakceptowany przez Inżyniera: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spycharki,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ładowarki,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żurawie samochodowe,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samochody ciężarowe,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zrywarki,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młoty pneumatyczne,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piły mechaniczne,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frezarki nawierzchni,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koparki.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3" w:name="_4__TRANSPORT_4"/>
      <w:bookmarkEnd w:id="3"/>
      <w:r w:rsidRPr="00376408">
        <w:rPr>
          <w:rFonts w:ascii="Arial" w:hAnsi="Arial" w:cs="Arial"/>
          <w:color w:val="3366FF"/>
        </w:rPr>
        <w:t>4. TRANSPORT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materiałów z rozbiórki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 z rozbiórki można przewozić dowolnym środkiem transportu.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4" w:name="_5__WYKONANIE_ROBÓT_4"/>
      <w:bookmarkEnd w:id="4"/>
      <w:r w:rsidRPr="00376408">
        <w:rPr>
          <w:rFonts w:ascii="Arial" w:hAnsi="Arial" w:cs="Arial"/>
          <w:color w:val="3366FF"/>
        </w:rPr>
        <w:t>5. WYKONANIE ROBÓT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Wykonanie robót rozbiórkowych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rozbiórkowe elementów dróg, ogrodzeń i przepustów obejmują usunięcie z terenu budowy wszystkich elementów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1.3, zgodnie z dokumentacją projektową, SST lub wskazanych przez Inżyniera.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rozbiórkowe można wykonywać mechanicznie lub ręcznie w sposób określony w SST lub przez Inżyniera.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usuwania warstw nawierzchni z zastosowaniem frezarek drogowych, należy spełnić warunki określone w OST D-05.03.11 „Recykling”.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robót rozbiórkowych przepustu należy dokonać: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odkopania przepustu,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 w:rsidRPr="00376408">
          <w:rPr>
            <w:rFonts w:ascii="Arial" w:hAnsi="Arial" w:cs="Arial"/>
          </w:rPr>
          <w:t>2 m</w:t>
        </w:r>
      </w:smartTag>
      <w:r w:rsidRPr="00376408">
        <w:rPr>
          <w:rFonts w:ascii="Arial" w:hAnsi="Arial" w:cs="Arial"/>
        </w:rPr>
        <w:t>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rozbicia elementów, których nie przewiduje się odzyskać, w sposób ręczny lub mechaniczny z ew. przecięciem prętów zbrojeniowych i ich odgięciem,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oczyszczenia rozebranych elementów, przewidzianych do powtórnego użycia  (z zaprawy, kawałków betonu, izolacji itp.) i ich posortowania.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Elementy i materiały, które zgodnie z SST stają się własnością Wykonawcy, powinny być usunięte z terenu budowy.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5" w:name="_6__KONTROLA_JAKOŚCI_4"/>
      <w:bookmarkEnd w:id="5"/>
      <w:r w:rsidRPr="00376408">
        <w:rPr>
          <w:rFonts w:ascii="Arial" w:hAnsi="Arial" w:cs="Arial"/>
          <w:color w:val="3366FF"/>
        </w:rPr>
        <w:t>6. KONTROLA JAKOŚCI ROBÓT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Kontrola jakości robót rozbiórkowych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6" w:name="_7__OBMIAR_ROBÓT_4"/>
      <w:bookmarkEnd w:id="6"/>
      <w:r w:rsidRPr="00376408">
        <w:rPr>
          <w:rFonts w:ascii="Arial" w:hAnsi="Arial" w:cs="Arial"/>
          <w:color w:val="3366FF"/>
        </w:rPr>
        <w:t>7. OBMIAR ROBÓT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Jednostką obmiarową robót związanych z rozbiórką elementów dróg i ogrodzeń jest: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nawierzchni i chodnika -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krawężnika, opornika, obrzeża, ścieków prefabrykowanych, ogrodzeń, barier i poręczy - m (metr),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znaków drogowych - szt. (sztuka),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przepustów i ich elementów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a) betonowych, kamiennych, ceglanych - m</w:t>
      </w:r>
      <w:r w:rsidRPr="00376408">
        <w:rPr>
          <w:rFonts w:ascii="Arial" w:hAnsi="Arial" w:cs="Arial"/>
          <w:vertAlign w:val="superscript"/>
        </w:rPr>
        <w:t>3</w:t>
      </w:r>
      <w:r w:rsidRPr="00376408">
        <w:rPr>
          <w:rFonts w:ascii="Arial" w:hAnsi="Arial" w:cs="Arial"/>
        </w:rPr>
        <w:t xml:space="preserve"> (metr sześcienny),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b) prefabrykowanych betonowych, żelbetowych - m (metr).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7" w:name="_8__ODBIÓR_ROBÓT_4"/>
      <w:bookmarkEnd w:id="7"/>
      <w:r w:rsidRPr="00376408">
        <w:rPr>
          <w:rFonts w:ascii="Arial" w:hAnsi="Arial" w:cs="Arial"/>
          <w:color w:val="3366FF"/>
        </w:rPr>
        <w:t>8. ODBIÓR ROBÓT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8" w:name="_9__PODSTAWA_PŁATNOŚCI_4"/>
      <w:bookmarkEnd w:id="8"/>
      <w:r w:rsidRPr="00376408">
        <w:rPr>
          <w:rFonts w:ascii="Arial" w:hAnsi="Arial" w:cs="Arial"/>
          <w:color w:val="3366FF"/>
        </w:rPr>
        <w:t>9. PODSTAWA PŁATNOŚCI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5D70E7" w:rsidRPr="00376408" w:rsidRDefault="005D70E7" w:rsidP="005D70E7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Cena wykonania robót obejmuje: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a) dla rozbiórki warstw nawierzchni: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wyznaczenie powierzchni przeznaczonej do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rozkucie i zerwanie nawierzchni,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przesortowanie materiału uzyskanego z rozbiórki, w celu ponownego jej użycia, z ułożeniem na poboczu,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wyrównanie podłoża i 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b) dla rozbiórki krawężników, obrzeży i oporników: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odkopanie krawężników, obrzeży i oporników wraz z wyjęciem i oczyszczeniem,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zerwanie podsypki cementowo-piaskowej i ew. ław,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materiału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wyrównanie podłoża i 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c) dla rozbiórki ścieku: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odsłonięcie ścieku,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ręczne wyjęcie elementów ściekowych wraz z oczyszczeniem,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przesortowanie materiału uzyskanego z rozbiórki, w celu ponownego jego użycia, z ułożeniem na poboczu,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zerwanie podsypki cementowo-piaskowej,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uzupełnienie i wyrównanie podłoża,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wywóz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d) dla rozbiórki chodników: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ręczne wyjęcie płyt chodnikowych, lub rozkucie i zerwanie innych materiałów chodnikowych,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przesortowanie materiału uzyskanego z rozbiórki w celu ponownego jego użycia, z ułożeniem na poboczu,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zerwanie podsypki cementowo-piaskowej,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wyrównanie podłoża i 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e) dla rozbiórki ogrodzeń: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demontaż elementów ogrodzenia,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odkopanie i wydobycie słupków wraz z fundamentem,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zasypanie dołów po słupkach z zagęszczeniem do uzyskania </w:t>
      </w:r>
      <w:proofErr w:type="spellStart"/>
      <w:r w:rsidRPr="00376408">
        <w:rPr>
          <w:rFonts w:ascii="Arial" w:hAnsi="Arial" w:cs="Arial"/>
        </w:rPr>
        <w:t>Is</w:t>
      </w:r>
      <w:proofErr w:type="spellEnd"/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1,00 wg BN-77/8931-12 [9],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przesortowanie materiału uzyskanego z rozbiórki, w celu ponownego jego użycia, z ułożeniem w stosy na poboczu,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f) dla rozbiórki barier i poręczy: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demontaż elementów bariery lub poręczy,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odkopanie i wydobycie słupków wraz z fundamentem,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zasypanie dołów po słupkach wraz z zagęszczeniem do uzyskania </w:t>
      </w:r>
      <w:proofErr w:type="spellStart"/>
      <w:r w:rsidRPr="00376408">
        <w:rPr>
          <w:rFonts w:ascii="Arial" w:hAnsi="Arial" w:cs="Arial"/>
        </w:rPr>
        <w:t>Is</w:t>
      </w:r>
      <w:proofErr w:type="spellEnd"/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1,00 wg BN-77/8931-12 [9],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g) dla rozbiórki znaków drogowych: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demontaż tablic znaków drogowych ze słupków,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odkopanie i wydobycie słupków,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zasypanie dołów po słupkach wraz z zagęszczeniem do uzyskania </w:t>
      </w:r>
      <w:proofErr w:type="spellStart"/>
      <w:r w:rsidRPr="00376408">
        <w:rPr>
          <w:rFonts w:ascii="Arial" w:hAnsi="Arial" w:cs="Arial"/>
        </w:rPr>
        <w:t>Is</w:t>
      </w:r>
      <w:proofErr w:type="spellEnd"/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1,00 wg BN-77/8931-12 [9],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uporządkowanie terenu rozbiórki;</w:t>
      </w:r>
    </w:p>
    <w:p w:rsidR="005D70E7" w:rsidRPr="00376408" w:rsidRDefault="005D70E7" w:rsidP="005D70E7">
      <w:pPr>
        <w:tabs>
          <w:tab w:val="right" w:leader="dot" w:pos="-1985"/>
          <w:tab w:val="left" w:pos="426"/>
          <w:tab w:val="right" w:leader="dot" w:pos="8505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h) dla rozbiórki przepustu: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odkopanie przepustu, fundamentów, ław, umocnień itp.,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ew. ustawienie rusztowań i ich późniejsze rozebranie,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rozebranie elementów przepustu,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sortowanie i pryzmowanie odzyskanych materiałów,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załadunek i wywiezienie materiałów z rozbiórki,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zasypanie dołów (wykopów) gruntem z zagęszczeniem do uzyskania </w:t>
      </w:r>
      <w:proofErr w:type="spellStart"/>
      <w:r w:rsidRPr="00376408">
        <w:rPr>
          <w:rFonts w:ascii="Arial" w:hAnsi="Arial" w:cs="Arial"/>
        </w:rPr>
        <w:t>Is</w:t>
      </w:r>
      <w:proofErr w:type="spellEnd"/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</w:rPr>
        <w:sym w:font="Symbol" w:char="F0B3"/>
      </w:r>
      <w:r w:rsidRPr="00376408">
        <w:rPr>
          <w:rFonts w:ascii="Arial" w:hAnsi="Arial" w:cs="Arial"/>
        </w:rPr>
        <w:t xml:space="preserve"> 1,00 wg BN-77/8931-12 [9],</w:t>
      </w:r>
    </w:p>
    <w:p w:rsidR="005D70E7" w:rsidRPr="00376408" w:rsidRDefault="005D70E7" w:rsidP="005D70E7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uporządkowanie terenu rozbiórki.</w:t>
      </w:r>
    </w:p>
    <w:p w:rsidR="005D70E7" w:rsidRPr="00376408" w:rsidRDefault="005D70E7" w:rsidP="005D70E7">
      <w:pPr>
        <w:pStyle w:val="Nagwek1"/>
        <w:ind w:left="110"/>
        <w:rPr>
          <w:rFonts w:ascii="Arial" w:hAnsi="Arial" w:cs="Arial"/>
          <w:color w:val="3366FF"/>
        </w:rPr>
      </w:pPr>
      <w:bookmarkStart w:id="9" w:name="_10__PRZEPISY_ZWIĄZANE_4"/>
      <w:bookmarkEnd w:id="9"/>
      <w:r w:rsidRPr="00376408">
        <w:rPr>
          <w:rFonts w:ascii="Arial" w:hAnsi="Arial" w:cs="Arial"/>
          <w:color w:val="3366FF"/>
        </w:rPr>
        <w:t>10. PRZEPISY ZWIĄZANE</w:t>
      </w:r>
    </w:p>
    <w:p w:rsidR="005D70E7" w:rsidRPr="00376408" w:rsidRDefault="005D70E7" w:rsidP="005D70E7">
      <w:pPr>
        <w:pStyle w:val="Nagwek2"/>
        <w:spacing w:before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2551"/>
        <w:gridCol w:w="5450"/>
      </w:tblGrid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PN-D-95017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Surowiec drzewny. Drewno tartaczne iglaste.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PN-D-96000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Tarcica iglasta ogólnego przeznaczenia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PN-D-96002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Tarcica liściasta ogólnego przeznaczenia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PN-H-74219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Rury stalowe bez szwu walcowane na gorąco ogólnego stosowania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PN-H-74220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Rury stalowe bez szwu ciągnione i walcowane na zimno ogólnego przeznaczenia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PN-H-93401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Stal walcowana. Kątowniki równoramienne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PN-H-93402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Kątowniki nierównoramienne stalowe walcowane na gorąco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BN-87/5028-12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Gwoździe budowlane. Gwoździe z trzpieniem gładkim, okrągłym i kwadratowym</w:t>
            </w:r>
          </w:p>
        </w:tc>
      </w:tr>
      <w:tr w:rsidR="005D70E7" w:rsidRPr="00DC095D" w:rsidTr="00197D78">
        <w:tc>
          <w:tcPr>
            <w:tcW w:w="496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9.</w:t>
            </w:r>
          </w:p>
        </w:tc>
        <w:tc>
          <w:tcPr>
            <w:tcW w:w="2551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BN-77/8931-12</w:t>
            </w:r>
          </w:p>
        </w:tc>
        <w:tc>
          <w:tcPr>
            <w:tcW w:w="5450" w:type="dxa"/>
          </w:tcPr>
          <w:p w:rsidR="005D70E7" w:rsidRPr="00DC095D" w:rsidRDefault="005D70E7" w:rsidP="00197D78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Oznaczenie wskaźnika zagęszczenia gruntu.</w:t>
            </w:r>
          </w:p>
        </w:tc>
      </w:tr>
    </w:tbl>
    <w:p w:rsidR="00F10BE3" w:rsidRPr="005D70E7" w:rsidRDefault="00F10BE3" w:rsidP="005D70E7"/>
    <w:sectPr w:rsidR="00F10BE3" w:rsidRPr="005D70E7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70E7"/>
    <w:rsid w:val="001E0814"/>
    <w:rsid w:val="002506EC"/>
    <w:rsid w:val="003610B1"/>
    <w:rsid w:val="0048449C"/>
    <w:rsid w:val="005D70E7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D70E7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5D70E7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70E7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D70E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5D70E7"/>
    <w:rPr>
      <w:color w:val="0000FF"/>
      <w:u w:val="single"/>
    </w:rPr>
  </w:style>
  <w:style w:type="paragraph" w:styleId="Stopka">
    <w:name w:val="footer"/>
    <w:basedOn w:val="Normalny"/>
    <w:link w:val="StopkaZnak"/>
    <w:rsid w:val="005D70E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</w:pPr>
    <w:rPr>
      <w:rFonts w:ascii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5D70E7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5D70E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5D70E7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rzygotowawcze\d010000.htm" TargetMode="External"/><Relationship Id="rId13" Type="http://schemas.openxmlformats.org/officeDocument/2006/relationships/hyperlink" Target="file:///E:\OST\DROGOWE%20ROBOTY%20INWESTYCYJNE%20%202.12\ost\Przygotowawcze\d010000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rzygotowawcze\d010000.htm" TargetMode="External"/><Relationship Id="rId12" Type="http://schemas.openxmlformats.org/officeDocument/2006/relationships/hyperlink" Target="file:///E:\OST\DROGOWE%20ROBOTY%20INWESTYCYJNE%20%202.12\ost\Przygotowawcze\d01000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rzygotowawcze\d010000.htm" TargetMode="External"/><Relationship Id="rId11" Type="http://schemas.openxmlformats.org/officeDocument/2006/relationships/hyperlink" Target="file:///E:\OST\DROGOWE%20ROBOTY%20INWESTYCYJNE%20%202.12\ost\Przygotowawcze\d010000.htm" TargetMode="External"/><Relationship Id="rId5" Type="http://schemas.openxmlformats.org/officeDocument/2006/relationships/hyperlink" Target="file:///E:\OST\DROGOWE%20ROBOTY%20INWESTYCYJNE%20%202.12\ost\Przygotowawcze\d010000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E:\OST\DROGOWE%20ROBOTY%20INWESTYCYJNE%20%202.12\ost\Przygotowawcze\d01000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rzygotowawcze\d01000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1826</Words>
  <Characters>10958</Characters>
  <Application>Microsoft Office Word</Application>
  <DocSecurity>0</DocSecurity>
  <Lines>91</Lines>
  <Paragraphs>25</Paragraphs>
  <ScaleCrop>false</ScaleCrop>
  <Company>Praca</Company>
  <LinksUpToDate>false</LinksUpToDate>
  <CharactersWithSpaces>12759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2016-03-17T14:35:00Z</dcterms:created>
  <dcterms:modified xsi:type="dcterms:W3CDTF">2016-03-18T14:06:00Z</dcterms:modified>
</cp:coreProperties>
</file>