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F6" w:rsidRPr="00376408" w:rsidRDefault="00B377F6" w:rsidP="00B377F6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B377F6" w:rsidRPr="00376408" w:rsidRDefault="00B377F6" w:rsidP="00B377F6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D-04.01.01</w:t>
      </w:r>
    </w:p>
    <w:p w:rsidR="00B377F6" w:rsidRPr="00376408" w:rsidRDefault="00B377F6" w:rsidP="00B377F6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B377F6" w:rsidRPr="00376408" w:rsidRDefault="00B377F6" w:rsidP="00B377F6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KORYTO  WRAZ  Z  PROFILOWANIEM</w:t>
      </w:r>
    </w:p>
    <w:p w:rsidR="00B377F6" w:rsidRPr="00376408" w:rsidRDefault="00B377F6" w:rsidP="00B377F6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I  ZAGĘSZCZANIEM  PODŁOŻA</w:t>
      </w:r>
    </w:p>
    <w:p w:rsidR="00B377F6" w:rsidRPr="00376408" w:rsidRDefault="00B377F6" w:rsidP="00B377F6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B377F6" w:rsidRPr="00376408" w:rsidRDefault="00B377F6" w:rsidP="00B377F6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B377F6" w:rsidRPr="00376408" w:rsidRDefault="00B377F6" w:rsidP="00B048B7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5" w:anchor="_1._WSTĘP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1. WSTĘP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6" w:anchor="_2._materiały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2. materiały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7" w:anchor="_3._sprzęt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3. sprzęt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8" w:anchor="_4._transport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4. transport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9" w:anchor="_5._wykonanie_robót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5. wykonanie robót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10" w:anchor="_6._kontrola_jakości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6. kontrola jakości robót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11" w:anchor="_7._obmiar_robót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7. obmiar robót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12" w:anchor="_8._odbiór_robót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8. odbiór robót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13" w:anchor="_9._podstawa_płatności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9. podstawa płatności</w:t>
        </w:r>
      </w:hyperlink>
    </w:p>
    <w:p w:rsidR="00B377F6" w:rsidRPr="00376408" w:rsidRDefault="004975AF" w:rsidP="00B377F6">
      <w:pP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hyperlink r:id="rId14" w:anchor="_10._przepisy_związane" w:history="1">
        <w:r w:rsidR="00B377F6" w:rsidRPr="00376408">
          <w:rPr>
            <w:rStyle w:val="Hipercze"/>
            <w:rFonts w:ascii="Arial" w:hAnsi="Arial" w:cs="Arial"/>
            <w:b/>
            <w:bCs/>
            <w:caps/>
            <w:color w:val="000080"/>
          </w:rPr>
          <w:t>10. przepisy związane</w:t>
        </w:r>
      </w:hyperlink>
    </w:p>
    <w:p w:rsidR="00B377F6" w:rsidRPr="00376408" w:rsidRDefault="00B377F6" w:rsidP="00B377F6">
      <w:pPr>
        <w:pBdr>
          <w:bottom w:val="single" w:sz="4" w:space="1" w:color="auto"/>
        </w:pBdr>
        <w:tabs>
          <w:tab w:val="left" w:pos="-180"/>
          <w:tab w:val="right" w:leader="dot" w:pos="8789"/>
        </w:tabs>
        <w:ind w:left="110"/>
        <w:rPr>
          <w:rFonts w:ascii="Arial" w:hAnsi="Arial" w:cs="Arial"/>
          <w:b/>
          <w:bCs/>
          <w:caps/>
          <w:color w:val="000080"/>
          <w:sz w:val="20"/>
          <w:szCs w:val="20"/>
        </w:rPr>
      </w:pPr>
      <w:r w:rsidRPr="00376408">
        <w:rPr>
          <w:rFonts w:ascii="Arial" w:hAnsi="Arial" w:cs="Arial"/>
          <w:b/>
          <w:bCs/>
          <w:caps/>
          <w:color w:val="000080"/>
          <w:sz w:val="20"/>
          <w:szCs w:val="20"/>
        </w:rPr>
        <w:t> </w:t>
      </w:r>
    </w:p>
    <w:p w:rsidR="00B377F6" w:rsidRPr="00376408" w:rsidRDefault="00B377F6" w:rsidP="00B377F6">
      <w:pPr>
        <w:tabs>
          <w:tab w:val="left" w:pos="-180"/>
          <w:tab w:val="right" w:leader="dot" w:pos="8789"/>
        </w:tabs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 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r w:rsidRPr="00376408">
        <w:rPr>
          <w:rFonts w:ascii="Arial" w:hAnsi="Arial" w:cs="Arial"/>
          <w:color w:val="000080"/>
        </w:rPr>
        <w:t>1. WSTĘP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0" w:name="_Toc405704473"/>
      <w:bookmarkStart w:id="1" w:name="_Toc406913835"/>
      <w:bookmarkStart w:id="2" w:name="_Toc406914080"/>
      <w:bookmarkStart w:id="3" w:name="_Toc406914738"/>
      <w:bookmarkStart w:id="4" w:name="_Toc406915316"/>
      <w:bookmarkStart w:id="5" w:name="_Toc406984009"/>
      <w:bookmarkStart w:id="6" w:name="_Toc406984156"/>
      <w:bookmarkStart w:id="7" w:name="_Toc406984347"/>
      <w:bookmarkStart w:id="8" w:name="_Toc407069555"/>
      <w:bookmarkStart w:id="9" w:name="_Toc407081520"/>
      <w:bookmarkStart w:id="10" w:name="_Toc407083319"/>
      <w:bookmarkStart w:id="11" w:name="_Toc407084153"/>
      <w:bookmarkStart w:id="12" w:name="_Toc407085272"/>
      <w:bookmarkStart w:id="13" w:name="_Toc407085415"/>
      <w:bookmarkStart w:id="14" w:name="_Toc407085558"/>
      <w:bookmarkStart w:id="15" w:name="_Toc407086006"/>
      <w:r w:rsidRPr="00376408">
        <w:rPr>
          <w:rFonts w:ascii="Arial" w:hAnsi="Arial" w:cs="Arial"/>
        </w:rPr>
        <w:t>1.1. Przedmiot OST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Przedmiotem niniejszej ogólnej specyfikacji technicznej (OST) są wymagania dotyczące wykonania i odbioru robót związanych z wykonywaniem koryta wraz z profilowaniem i zagęszczaniem podłoża gruntowego.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16" w:name="_Toc405704474"/>
      <w:bookmarkStart w:id="17" w:name="_Toc406913836"/>
      <w:bookmarkStart w:id="18" w:name="_Toc406914081"/>
      <w:bookmarkStart w:id="19" w:name="_Toc406914739"/>
      <w:bookmarkStart w:id="20" w:name="_Toc406915317"/>
      <w:bookmarkStart w:id="21" w:name="_Toc406984010"/>
      <w:bookmarkStart w:id="22" w:name="_Toc406984157"/>
      <w:bookmarkStart w:id="23" w:name="_Toc406984348"/>
      <w:bookmarkStart w:id="24" w:name="_Toc407069556"/>
      <w:bookmarkStart w:id="25" w:name="_Toc407081521"/>
      <w:bookmarkStart w:id="26" w:name="_Toc407083320"/>
      <w:bookmarkStart w:id="27" w:name="_Toc407084154"/>
      <w:bookmarkStart w:id="28" w:name="_Toc407085273"/>
      <w:bookmarkStart w:id="29" w:name="_Toc407085416"/>
      <w:bookmarkStart w:id="30" w:name="_Toc407085559"/>
      <w:bookmarkStart w:id="31" w:name="_Toc407086007"/>
      <w:r w:rsidRPr="00376408">
        <w:rPr>
          <w:rFonts w:ascii="Arial" w:hAnsi="Arial" w:cs="Arial"/>
        </w:rPr>
        <w:t>1.2. Zakres stosowania OST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wykorzystanie OST przy zlecaniu robót na drogach miejskich i gminnych.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32" w:name="_Toc405704475"/>
      <w:bookmarkStart w:id="33" w:name="_Toc406913837"/>
      <w:bookmarkStart w:id="34" w:name="_Toc406914082"/>
      <w:bookmarkStart w:id="35" w:name="_Toc406914740"/>
      <w:bookmarkStart w:id="36" w:name="_Toc406915318"/>
      <w:bookmarkStart w:id="37" w:name="_Toc406984011"/>
      <w:bookmarkStart w:id="38" w:name="_Toc406984158"/>
      <w:bookmarkStart w:id="39" w:name="_Toc406984349"/>
      <w:bookmarkStart w:id="40" w:name="_Toc407069557"/>
      <w:bookmarkStart w:id="41" w:name="_Toc407081522"/>
      <w:bookmarkStart w:id="42" w:name="_Toc407083321"/>
      <w:bookmarkStart w:id="43" w:name="_Toc407084155"/>
      <w:bookmarkStart w:id="44" w:name="_Toc407085274"/>
      <w:bookmarkStart w:id="45" w:name="_Toc407085417"/>
      <w:bookmarkStart w:id="46" w:name="_Toc407085560"/>
      <w:bookmarkStart w:id="47" w:name="_Toc407086008"/>
      <w:r w:rsidRPr="00376408">
        <w:rPr>
          <w:rFonts w:ascii="Arial" w:hAnsi="Arial" w:cs="Arial"/>
        </w:rPr>
        <w:t>1.3. Zakres robót objętych OST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Ustalenia zawarte w niniejszej specyfikacji dotyczą zasad prowadzenia robót związanych z wykonaniem koryta przeznaczonego do ułożenia konstrukcji nawierzchni. 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48" w:name="_Toc405704476"/>
      <w:bookmarkStart w:id="49" w:name="_Toc406913838"/>
      <w:bookmarkStart w:id="50" w:name="_Toc406914083"/>
      <w:bookmarkStart w:id="51" w:name="_Toc406914741"/>
      <w:bookmarkStart w:id="52" w:name="_Toc406915319"/>
      <w:bookmarkStart w:id="53" w:name="_Toc406984012"/>
      <w:bookmarkStart w:id="54" w:name="_Toc406984159"/>
      <w:bookmarkStart w:id="55" w:name="_Toc406984350"/>
      <w:bookmarkStart w:id="56" w:name="_Toc407069558"/>
      <w:bookmarkStart w:id="57" w:name="_Toc407081523"/>
      <w:bookmarkStart w:id="58" w:name="_Toc407083322"/>
      <w:bookmarkStart w:id="59" w:name="_Toc407084156"/>
      <w:bookmarkStart w:id="60" w:name="_Toc407085275"/>
      <w:bookmarkStart w:id="61" w:name="_Toc407085418"/>
      <w:bookmarkStart w:id="62" w:name="_Toc407085561"/>
      <w:bookmarkStart w:id="63" w:name="_Toc407086009"/>
      <w:r w:rsidRPr="00376408">
        <w:rPr>
          <w:rFonts w:ascii="Arial" w:hAnsi="Arial" w:cs="Arial"/>
        </w:rPr>
        <w:t>1.4. Określenia podstawowe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Określenia podstawowe są zgodne z obowiązującymi, odpowiednimi polskimi normami i definicjami podanymi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1.4.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64" w:name="_Toc405704477"/>
      <w:bookmarkStart w:id="65" w:name="_Toc406913839"/>
      <w:bookmarkStart w:id="66" w:name="_Toc406914084"/>
      <w:bookmarkStart w:id="67" w:name="_Toc406914742"/>
      <w:bookmarkStart w:id="68" w:name="_Toc406915320"/>
      <w:bookmarkStart w:id="69" w:name="_Toc406984013"/>
      <w:bookmarkStart w:id="70" w:name="_Toc406984160"/>
      <w:bookmarkStart w:id="71" w:name="_Toc406984351"/>
      <w:bookmarkStart w:id="72" w:name="_Toc407069559"/>
      <w:bookmarkStart w:id="73" w:name="_Toc407081524"/>
      <w:bookmarkStart w:id="74" w:name="_Toc407083323"/>
      <w:bookmarkStart w:id="75" w:name="_Toc407084157"/>
      <w:bookmarkStart w:id="76" w:name="_Toc407085276"/>
      <w:bookmarkStart w:id="77" w:name="_Toc407085419"/>
      <w:bookmarkStart w:id="78" w:name="_Toc407085562"/>
      <w:bookmarkStart w:id="79" w:name="_Toc407086010"/>
      <w:r w:rsidRPr="00376408">
        <w:rPr>
          <w:rFonts w:ascii="Arial" w:hAnsi="Arial" w:cs="Arial"/>
        </w:rPr>
        <w:t>1.5. Ogólne wymagania dotyczące robót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1.5.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80" w:name="_Toc406913840"/>
      <w:bookmarkStart w:id="81" w:name="_Toc406914085"/>
      <w:bookmarkStart w:id="82" w:name="_Toc406914743"/>
      <w:bookmarkStart w:id="83" w:name="_Toc406915321"/>
      <w:bookmarkStart w:id="84" w:name="_Toc406984014"/>
      <w:bookmarkStart w:id="85" w:name="_Toc406984161"/>
      <w:bookmarkStart w:id="86" w:name="_Toc406984352"/>
      <w:bookmarkStart w:id="87" w:name="_Toc407069560"/>
      <w:bookmarkStart w:id="88" w:name="_Toc407081525"/>
      <w:bookmarkStart w:id="89" w:name="_Toc407083324"/>
      <w:bookmarkStart w:id="90" w:name="_Toc407084158"/>
      <w:bookmarkStart w:id="91" w:name="_Toc407085277"/>
      <w:bookmarkStart w:id="92" w:name="_Toc407085420"/>
      <w:bookmarkStart w:id="93" w:name="_Toc407085563"/>
      <w:bookmarkStart w:id="94" w:name="_Toc407086011"/>
      <w:r w:rsidRPr="00376408">
        <w:rPr>
          <w:rFonts w:ascii="Arial" w:hAnsi="Arial" w:cs="Arial"/>
          <w:color w:val="000080"/>
        </w:rPr>
        <w:t>2. materiały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 występują.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95" w:name="_Toc406913841"/>
      <w:bookmarkStart w:id="96" w:name="_Toc406914086"/>
      <w:bookmarkStart w:id="97" w:name="_Toc406914744"/>
      <w:bookmarkStart w:id="98" w:name="_Toc406915322"/>
      <w:bookmarkStart w:id="99" w:name="_Toc406984015"/>
      <w:bookmarkStart w:id="100" w:name="_Toc406984162"/>
      <w:bookmarkStart w:id="101" w:name="_Toc406984353"/>
      <w:bookmarkStart w:id="102" w:name="_Toc407069561"/>
      <w:bookmarkStart w:id="103" w:name="_Toc407081526"/>
      <w:bookmarkStart w:id="104" w:name="_Toc407083325"/>
      <w:bookmarkStart w:id="105" w:name="_Toc407084159"/>
      <w:bookmarkStart w:id="106" w:name="_Toc407085278"/>
      <w:bookmarkStart w:id="107" w:name="_Toc407085421"/>
      <w:bookmarkStart w:id="108" w:name="_Toc407085564"/>
      <w:bookmarkStart w:id="109" w:name="_Toc407086012"/>
      <w:r w:rsidRPr="00376408">
        <w:rPr>
          <w:rFonts w:ascii="Arial" w:hAnsi="Arial" w:cs="Arial"/>
          <w:color w:val="000080"/>
        </w:rPr>
        <w:t>3. sprzęt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110" w:name="_Toc406913842"/>
      <w:bookmarkStart w:id="111" w:name="_Toc406914087"/>
      <w:bookmarkStart w:id="112" w:name="_Toc406914745"/>
      <w:bookmarkStart w:id="113" w:name="_Toc406915323"/>
      <w:bookmarkStart w:id="114" w:name="_Toc406984016"/>
      <w:bookmarkStart w:id="115" w:name="_Toc406984163"/>
      <w:bookmarkStart w:id="116" w:name="_Toc406984354"/>
      <w:bookmarkStart w:id="117" w:name="_Toc407069562"/>
      <w:bookmarkStart w:id="118" w:name="_Toc407081527"/>
      <w:bookmarkStart w:id="119" w:name="_Toc407083326"/>
      <w:bookmarkStart w:id="120" w:name="_Toc407084160"/>
      <w:bookmarkStart w:id="121" w:name="_Toc407085279"/>
      <w:bookmarkStart w:id="122" w:name="_Toc407085422"/>
      <w:bookmarkStart w:id="123" w:name="_Toc407085565"/>
      <w:bookmarkStart w:id="124" w:name="_Toc407086013"/>
      <w:r w:rsidRPr="00376408">
        <w:rPr>
          <w:rFonts w:ascii="Arial" w:hAnsi="Arial" w:cs="Arial"/>
        </w:rPr>
        <w:t>3.1. Ogólne wymagania dotyczące sprzętu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125" w:name="_Toc406913843"/>
      <w:bookmarkStart w:id="126" w:name="_Toc406914088"/>
      <w:bookmarkStart w:id="127" w:name="_Toc406914746"/>
      <w:bookmarkStart w:id="128" w:name="_Toc406915324"/>
      <w:bookmarkStart w:id="129" w:name="_Toc406984017"/>
      <w:bookmarkStart w:id="130" w:name="_Toc406984164"/>
      <w:bookmarkStart w:id="131" w:name="_Toc406984355"/>
      <w:bookmarkStart w:id="132" w:name="_Toc407069563"/>
      <w:bookmarkStart w:id="133" w:name="_Toc407081528"/>
      <w:bookmarkStart w:id="134" w:name="_Toc407083327"/>
      <w:bookmarkStart w:id="135" w:name="_Toc407084161"/>
      <w:bookmarkStart w:id="136" w:name="_Toc407085280"/>
      <w:bookmarkStart w:id="137" w:name="_Toc407085423"/>
      <w:bookmarkStart w:id="138" w:name="_Toc407085566"/>
      <w:bookmarkStart w:id="139" w:name="_Toc407086014"/>
      <w:r w:rsidRPr="00376408">
        <w:rPr>
          <w:rFonts w:ascii="Arial" w:hAnsi="Arial" w:cs="Arial"/>
        </w:rPr>
        <w:lastRenderedPageBreak/>
        <w:t>3.2. Sprzęt do wykonania robót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przystępujący do wykonania koryta i profilowania podłoża powinien wykazać się możliwością korzystania z następującego sprzętu: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koparek z czerpakami profilowymi (przy wykonywaniu wąskich koryt),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walców statycznych, wibracyjnych lub płyt wibracyjnych.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Stosowany sprzęt nie może spowodować niekorzystnego wpływu na właściwości gruntu podłoża.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140" w:name="_Toc406913844"/>
      <w:bookmarkStart w:id="141" w:name="_Toc406914089"/>
      <w:bookmarkStart w:id="142" w:name="_Toc406914747"/>
      <w:bookmarkStart w:id="143" w:name="_Toc406915325"/>
      <w:bookmarkStart w:id="144" w:name="_Toc406984018"/>
      <w:bookmarkStart w:id="145" w:name="_Toc406984165"/>
      <w:bookmarkStart w:id="146" w:name="_Toc406984356"/>
      <w:bookmarkStart w:id="147" w:name="_Toc407069564"/>
      <w:bookmarkStart w:id="148" w:name="_Toc407081529"/>
      <w:bookmarkStart w:id="149" w:name="_Toc407083328"/>
      <w:bookmarkStart w:id="150" w:name="_Toc407084162"/>
      <w:bookmarkStart w:id="151" w:name="_Toc407085281"/>
      <w:bookmarkStart w:id="152" w:name="_Toc407085424"/>
      <w:bookmarkStart w:id="153" w:name="_Toc407085567"/>
      <w:bookmarkStart w:id="154" w:name="_Toc407086015"/>
      <w:r w:rsidRPr="00376408">
        <w:rPr>
          <w:rFonts w:ascii="Arial" w:hAnsi="Arial" w:cs="Arial"/>
          <w:color w:val="000080"/>
        </w:rPr>
        <w:t>4. transport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155" w:name="_Toc406913845"/>
      <w:bookmarkStart w:id="156" w:name="_Toc406914090"/>
      <w:bookmarkStart w:id="157" w:name="_Toc406914748"/>
      <w:bookmarkStart w:id="158" w:name="_Toc406915326"/>
      <w:bookmarkStart w:id="159" w:name="_Toc406984019"/>
      <w:bookmarkStart w:id="160" w:name="_Toc406984166"/>
      <w:bookmarkStart w:id="161" w:name="_Toc406984357"/>
      <w:bookmarkStart w:id="162" w:name="_Toc407069565"/>
      <w:bookmarkStart w:id="163" w:name="_Toc407081530"/>
      <w:bookmarkStart w:id="164" w:name="_Toc407083329"/>
      <w:bookmarkStart w:id="165" w:name="_Toc407084163"/>
      <w:bookmarkStart w:id="166" w:name="_Toc407085282"/>
      <w:bookmarkStart w:id="167" w:name="_Toc407085425"/>
      <w:bookmarkStart w:id="168" w:name="_Toc407085568"/>
      <w:bookmarkStart w:id="169" w:name="_Toc407086016"/>
      <w:r w:rsidRPr="00376408">
        <w:rPr>
          <w:rFonts w:ascii="Arial" w:hAnsi="Arial" w:cs="Arial"/>
        </w:rPr>
        <w:t>4.1. Ogólne wymagania dotyczące transportu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  <w:bookmarkStart w:id="170" w:name="_Toc406822326"/>
      <w:bookmarkStart w:id="171" w:name="_Toc406913846"/>
      <w:bookmarkStart w:id="172" w:name="_Toc406914091"/>
      <w:r w:rsidRPr="00376408">
        <w:rPr>
          <w:rFonts w:ascii="Arial" w:hAnsi="Arial" w:cs="Arial"/>
          <w:sz w:val="20"/>
          <w:szCs w:val="20"/>
        </w:rPr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</w:t>
      </w:r>
      <w:bookmarkEnd w:id="170"/>
      <w:bookmarkEnd w:id="171"/>
      <w:bookmarkEnd w:id="172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173" w:name="_Toc406913847"/>
      <w:bookmarkStart w:id="174" w:name="_Toc406914092"/>
      <w:bookmarkStart w:id="175" w:name="_Toc406914749"/>
      <w:bookmarkStart w:id="176" w:name="_Toc406915327"/>
      <w:bookmarkStart w:id="177" w:name="_Toc406984020"/>
      <w:bookmarkStart w:id="178" w:name="_Toc406984167"/>
      <w:bookmarkStart w:id="179" w:name="_Toc406984358"/>
      <w:bookmarkStart w:id="180" w:name="_Toc407069566"/>
      <w:bookmarkStart w:id="181" w:name="_Toc407081531"/>
      <w:bookmarkStart w:id="182" w:name="_Toc407083330"/>
      <w:bookmarkStart w:id="183" w:name="_Toc407084164"/>
      <w:bookmarkStart w:id="184" w:name="_Toc407085283"/>
      <w:bookmarkStart w:id="185" w:name="_Toc407085426"/>
      <w:bookmarkStart w:id="186" w:name="_Toc407085569"/>
      <w:bookmarkStart w:id="187" w:name="_Toc407086017"/>
      <w:r w:rsidRPr="00376408">
        <w:rPr>
          <w:rFonts w:ascii="Arial" w:hAnsi="Arial" w:cs="Arial"/>
        </w:rPr>
        <w:t>4.2. Transport materiałów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  <w:bookmarkStart w:id="188" w:name="_Toc406822328"/>
      <w:bookmarkStart w:id="189" w:name="_Toc406913848"/>
      <w:bookmarkStart w:id="190" w:name="_Toc406914093"/>
      <w:r w:rsidRPr="00376408">
        <w:rPr>
          <w:rFonts w:ascii="Arial" w:hAnsi="Arial" w:cs="Arial"/>
          <w:sz w:val="20"/>
          <w:szCs w:val="20"/>
        </w:rPr>
        <w:t>Wymagania dotyczące transportu materiałów podano w OST D-04.02.01, D-04.02.02, D-04.03.01</w:t>
      </w:r>
      <w:bookmarkEnd w:id="188"/>
      <w:bookmarkEnd w:id="189"/>
      <w:bookmarkEnd w:id="190"/>
      <w:r w:rsidRPr="003764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191" w:name="_Toc406913849"/>
      <w:bookmarkStart w:id="192" w:name="_Toc406914094"/>
      <w:bookmarkStart w:id="193" w:name="_Toc406914750"/>
      <w:bookmarkStart w:id="194" w:name="_Toc406915328"/>
      <w:bookmarkStart w:id="195" w:name="_Toc406984021"/>
      <w:bookmarkStart w:id="196" w:name="_Toc406984168"/>
      <w:bookmarkStart w:id="197" w:name="_Toc406984359"/>
      <w:bookmarkStart w:id="198" w:name="_Toc407069567"/>
      <w:bookmarkStart w:id="199" w:name="_Toc407081532"/>
      <w:bookmarkStart w:id="200" w:name="_Toc407083331"/>
      <w:bookmarkStart w:id="201" w:name="_Toc407084165"/>
      <w:bookmarkStart w:id="202" w:name="_Toc407085284"/>
      <w:bookmarkStart w:id="203" w:name="_Toc407085427"/>
      <w:bookmarkStart w:id="204" w:name="_Toc407085570"/>
      <w:bookmarkStart w:id="205" w:name="_Toc407086018"/>
      <w:r w:rsidRPr="00376408">
        <w:rPr>
          <w:rFonts w:ascii="Arial" w:hAnsi="Arial" w:cs="Arial"/>
          <w:color w:val="000080"/>
        </w:rPr>
        <w:t>5. wykonanie robót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206" w:name="_Toc406913850"/>
      <w:bookmarkStart w:id="207" w:name="_Toc406914095"/>
      <w:bookmarkStart w:id="208" w:name="_Toc406914751"/>
      <w:bookmarkStart w:id="209" w:name="_Toc406915329"/>
      <w:bookmarkStart w:id="210" w:name="_Toc406984022"/>
      <w:bookmarkStart w:id="211" w:name="_Toc406984169"/>
      <w:bookmarkStart w:id="212" w:name="_Toc406984360"/>
      <w:bookmarkStart w:id="213" w:name="_Toc407069568"/>
      <w:bookmarkStart w:id="214" w:name="_Toc407081533"/>
      <w:bookmarkStart w:id="215" w:name="_Toc407083332"/>
      <w:bookmarkStart w:id="216" w:name="_Toc407084166"/>
      <w:bookmarkStart w:id="217" w:name="_Toc407085285"/>
      <w:bookmarkStart w:id="218" w:name="_Toc407085428"/>
      <w:bookmarkStart w:id="219" w:name="_Toc407085571"/>
      <w:bookmarkStart w:id="220" w:name="_Toc407086019"/>
      <w:r w:rsidRPr="00376408">
        <w:rPr>
          <w:rFonts w:ascii="Arial" w:hAnsi="Arial" w:cs="Arial"/>
        </w:rPr>
        <w:t>5.1. Ogólne zasady wykonania robót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  <w:bookmarkStart w:id="221" w:name="_Toc406822331"/>
      <w:bookmarkStart w:id="222" w:name="_Toc406913851"/>
      <w:bookmarkStart w:id="223" w:name="_Toc406914096"/>
      <w:r w:rsidRPr="00376408">
        <w:rPr>
          <w:rFonts w:ascii="Arial" w:hAnsi="Arial" w:cs="Arial"/>
          <w:sz w:val="20"/>
          <w:szCs w:val="20"/>
        </w:rPr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</w:t>
      </w:r>
      <w:bookmarkEnd w:id="221"/>
      <w:bookmarkEnd w:id="222"/>
      <w:bookmarkEnd w:id="223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224" w:name="_Toc406913852"/>
      <w:bookmarkStart w:id="225" w:name="_Toc406914097"/>
      <w:bookmarkStart w:id="226" w:name="_Toc406914752"/>
      <w:bookmarkStart w:id="227" w:name="_Toc406915330"/>
      <w:bookmarkStart w:id="228" w:name="_Toc406984023"/>
      <w:bookmarkStart w:id="229" w:name="_Toc406984170"/>
      <w:bookmarkStart w:id="230" w:name="_Toc406984361"/>
      <w:bookmarkStart w:id="231" w:name="_Toc407069569"/>
      <w:bookmarkStart w:id="232" w:name="_Toc407081534"/>
      <w:bookmarkStart w:id="233" w:name="_Toc407083333"/>
      <w:bookmarkStart w:id="234" w:name="_Toc407084167"/>
      <w:bookmarkStart w:id="235" w:name="_Toc407085286"/>
      <w:bookmarkStart w:id="236" w:name="_Toc407085429"/>
      <w:bookmarkStart w:id="237" w:name="_Toc407085572"/>
      <w:bookmarkStart w:id="238" w:name="_Toc407086020"/>
      <w:r w:rsidRPr="00376408">
        <w:rPr>
          <w:rFonts w:ascii="Arial" w:hAnsi="Arial" w:cs="Arial"/>
        </w:rPr>
        <w:t>5.2. Warunki przystąpienia do robót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Wykonawca powinien przystąpić do wykonania koryta oraz profilowania i zagęszczenia podłoża bezpośrednio przed rozpoczęciem robót związanych z wykonaniem warstw nawierzchni. Wcześniejsze przystąpienie do wykonania koryta oraz profilowania i zagęszczania </w:t>
      </w:r>
      <w:proofErr w:type="spellStart"/>
      <w:r w:rsidRPr="00376408">
        <w:rPr>
          <w:rFonts w:ascii="Arial" w:hAnsi="Arial" w:cs="Arial"/>
          <w:sz w:val="20"/>
          <w:szCs w:val="20"/>
        </w:rPr>
        <w:t>podłoża,jest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możliwe wyłącznie za zgodą Inżyniera, w korzystnych warunkach atmosferycznych.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wykonanym korycie oraz po wyprofilowanym i zagęszczonym podłożu nie może odbywać się ruch budowlany, niezwiązany bezpośrednio z wykonaniem pierwszej warstwy nawierzchni.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239" w:name="_Toc406913853"/>
      <w:bookmarkStart w:id="240" w:name="_Toc406914098"/>
      <w:bookmarkStart w:id="241" w:name="_Toc406914753"/>
      <w:bookmarkStart w:id="242" w:name="_Toc406915331"/>
      <w:bookmarkStart w:id="243" w:name="_Toc406984024"/>
      <w:bookmarkStart w:id="244" w:name="_Toc406984171"/>
      <w:bookmarkStart w:id="245" w:name="_Toc406984362"/>
      <w:bookmarkStart w:id="246" w:name="_Toc407069570"/>
      <w:bookmarkStart w:id="247" w:name="_Toc407081535"/>
      <w:bookmarkStart w:id="248" w:name="_Toc407083334"/>
      <w:bookmarkStart w:id="249" w:name="_Toc407084168"/>
      <w:bookmarkStart w:id="250" w:name="_Toc407085287"/>
      <w:bookmarkStart w:id="251" w:name="_Toc407085430"/>
      <w:bookmarkStart w:id="252" w:name="_Toc407085573"/>
      <w:bookmarkStart w:id="253" w:name="_Toc407086021"/>
      <w:r w:rsidRPr="00376408">
        <w:rPr>
          <w:rFonts w:ascii="Arial" w:hAnsi="Arial" w:cs="Arial"/>
        </w:rPr>
        <w:t>5.3. Wykonanie koryta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Paliki lub szpilki do prawidłowego ukształtowania koryta w planie i profilu powinny być wcześniej przygotowane.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 w:rsidRPr="00376408">
          <w:rPr>
            <w:rFonts w:ascii="Arial" w:hAnsi="Arial" w:cs="Arial"/>
            <w:sz w:val="20"/>
            <w:szCs w:val="20"/>
          </w:rPr>
          <w:t>10 metrów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Rodzaj sprzętu, a w szczególności jego moc należy dostosować do rodzaju gruntu, w którym prowadzone są roboty i do trudności jego odspojenia. 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Profilowanie i zagęszczenie podłoża należy wykonać zgodnie z zasadami określonymi w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5.4.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254" w:name="_Toc406913854"/>
      <w:bookmarkStart w:id="255" w:name="_Toc406914099"/>
      <w:bookmarkStart w:id="256" w:name="_Toc406914754"/>
      <w:bookmarkStart w:id="257" w:name="_Toc406915332"/>
      <w:bookmarkStart w:id="258" w:name="_Toc406984025"/>
      <w:bookmarkStart w:id="259" w:name="_Toc406984172"/>
      <w:bookmarkStart w:id="260" w:name="_Toc406984363"/>
      <w:bookmarkStart w:id="261" w:name="_Toc407069571"/>
      <w:bookmarkStart w:id="262" w:name="_Toc407081536"/>
      <w:bookmarkStart w:id="263" w:name="_Toc407083335"/>
      <w:bookmarkStart w:id="264" w:name="_Toc407084169"/>
      <w:bookmarkStart w:id="265" w:name="_Toc407085288"/>
      <w:bookmarkStart w:id="266" w:name="_Toc407085431"/>
      <w:bookmarkStart w:id="267" w:name="_Toc407085574"/>
      <w:bookmarkStart w:id="268" w:name="_Toc407086022"/>
      <w:r w:rsidRPr="00376408">
        <w:rPr>
          <w:rFonts w:ascii="Arial" w:hAnsi="Arial" w:cs="Arial"/>
        </w:rPr>
        <w:t>5.4. Profilowanie i zagęszczanie podłoża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przystąpieniem do profilowania podłoże powinno być oczyszczone ze wszelkich zanieczyszczeń.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 oczyszczeniu powierzchni podłoża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>5 cm</w:t>
        </w:r>
      </w:smartTag>
      <w:r w:rsidRPr="00376408">
        <w:rPr>
          <w:rFonts w:ascii="Arial" w:hAnsi="Arial" w:cs="Arial"/>
          <w:sz w:val="20"/>
          <w:szCs w:val="20"/>
        </w:rPr>
        <w:t xml:space="preserve"> wyższe niż projektowane rzędne podłoża.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</w:t>
      </w:r>
      <w:r w:rsidRPr="00376408">
        <w:rPr>
          <w:rFonts w:ascii="Arial" w:hAnsi="Arial" w:cs="Arial"/>
          <w:sz w:val="20"/>
          <w:szCs w:val="20"/>
        </w:rPr>
        <w:lastRenderedPageBreak/>
        <w:t>górnej strefy korpusu, w ilości koniecznej do uzyskania wymaganych rzędnych wysokościowych i zagęścić warstwę do uzyskania wartości wskaźnika zagęszczenia, określonych w tablicy 1.</w:t>
      </w:r>
    </w:p>
    <w:p w:rsidR="00B377F6" w:rsidRPr="00376408" w:rsidRDefault="00B377F6" w:rsidP="00B377F6">
      <w:pPr>
        <w:pStyle w:val="tekstost"/>
        <w:overflowPunct/>
        <w:adjustRightInd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profilowania podłoża należy stosować równiarki. Ścięty grunt powinien być wykorzystany w robotach ziemnych lub w inny sposób zaakceptowany przez Inżyniera.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B377F6" w:rsidRPr="00376408" w:rsidRDefault="00B377F6" w:rsidP="00B377F6">
      <w:pPr>
        <w:spacing w:before="120" w:after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1. Minimalne wartości wskaźnika zagęszczenia podłoża (</w:t>
      </w:r>
      <w:proofErr w:type="spellStart"/>
      <w:r w:rsidRPr="00376408">
        <w:rPr>
          <w:rFonts w:ascii="Arial" w:hAnsi="Arial" w:cs="Arial"/>
          <w:sz w:val="20"/>
          <w:szCs w:val="20"/>
        </w:rPr>
        <w:t>I</w:t>
      </w:r>
      <w:r w:rsidRPr="00376408">
        <w:rPr>
          <w:rFonts w:ascii="Arial" w:hAnsi="Arial" w:cs="Arial"/>
          <w:sz w:val="20"/>
          <w:szCs w:val="20"/>
          <w:vertAlign w:val="subscript"/>
        </w:rPr>
        <w:t>s</w:t>
      </w:r>
      <w:proofErr w:type="spellEnd"/>
      <w:r w:rsidRPr="00376408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2905"/>
        <w:gridCol w:w="1560"/>
        <w:gridCol w:w="1521"/>
        <w:gridCol w:w="1524"/>
      </w:tblGrid>
      <w:tr w:rsidR="00B377F6" w:rsidRPr="00DC095D" w:rsidTr="00197D78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Minimalna wartość </w:t>
            </w:r>
            <w:proofErr w:type="spellStart"/>
            <w:r w:rsidRPr="00DC095D">
              <w:rPr>
                <w:rFonts w:ascii="Arial" w:hAnsi="Arial" w:cs="Arial"/>
                <w:sz w:val="20"/>
                <w:szCs w:val="20"/>
              </w:rPr>
              <w:t>I</w:t>
            </w:r>
            <w:r w:rsidRPr="00DC095D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proofErr w:type="spellEnd"/>
            <w:r w:rsidRPr="00DC095D">
              <w:rPr>
                <w:rFonts w:ascii="Arial" w:hAnsi="Arial" w:cs="Arial"/>
                <w:sz w:val="20"/>
                <w:szCs w:val="20"/>
              </w:rPr>
              <w:t xml:space="preserve"> dla:</w:t>
            </w:r>
          </w:p>
        </w:tc>
      </w:tr>
      <w:tr w:rsidR="00B377F6" w:rsidRPr="00DC095D" w:rsidTr="00197D78">
        <w:tc>
          <w:tcPr>
            <w:tcW w:w="290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Strefa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Innych dróg</w:t>
            </w:r>
          </w:p>
        </w:tc>
      </w:tr>
      <w:tr w:rsidR="00B377F6" w:rsidRPr="00DC095D" w:rsidTr="00197D78">
        <w:tc>
          <w:tcPr>
            <w:tcW w:w="290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korpusu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ind w:left="110" w:right="3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Ruch ciężki</w:t>
            </w:r>
          </w:p>
          <w:p w:rsidR="00B377F6" w:rsidRPr="00DC095D" w:rsidRDefault="00B377F6" w:rsidP="00197D78">
            <w:pPr>
              <w:ind w:left="110"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Ruch mniejszy</w:t>
            </w:r>
          </w:p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od ciężkiego</w:t>
            </w:r>
          </w:p>
        </w:tc>
      </w:tr>
      <w:tr w:rsidR="00B377F6" w:rsidRPr="00DC095D" w:rsidTr="00197D78">
        <w:tc>
          <w:tcPr>
            <w:tcW w:w="2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20 cm</w:t>
              </w:r>
            </w:smartTag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1,03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B377F6" w:rsidRPr="00DC095D" w:rsidTr="00197D78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50 cm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</w:tr>
    </w:tbl>
    <w:p w:rsidR="00B377F6" w:rsidRPr="00376408" w:rsidRDefault="00B377F6" w:rsidP="00B377F6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B377F6" w:rsidRPr="00376408" w:rsidRDefault="00B377F6" w:rsidP="00B377F6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B377F6" w:rsidRPr="00376408" w:rsidRDefault="00B377F6" w:rsidP="00B377F6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Wilgotność gruntu podłoża podczas zagęszczania powinna być równa wilgotności optymalnej z tolerancją od -20% do +10%.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269" w:name="_Toc406913855"/>
      <w:bookmarkStart w:id="270" w:name="_Toc406914100"/>
      <w:bookmarkStart w:id="271" w:name="_Toc406914755"/>
      <w:bookmarkStart w:id="272" w:name="_Toc406915333"/>
      <w:bookmarkStart w:id="273" w:name="_Toc406984026"/>
      <w:bookmarkStart w:id="274" w:name="_Toc406984173"/>
      <w:bookmarkStart w:id="275" w:name="_Toc406984364"/>
      <w:bookmarkStart w:id="276" w:name="_Toc407069572"/>
      <w:bookmarkStart w:id="277" w:name="_Toc407081537"/>
      <w:bookmarkStart w:id="278" w:name="_Toc407083336"/>
      <w:bookmarkStart w:id="279" w:name="_Toc407084170"/>
      <w:bookmarkStart w:id="280" w:name="_Toc407085289"/>
      <w:bookmarkStart w:id="281" w:name="_Toc407085432"/>
      <w:bookmarkStart w:id="282" w:name="_Toc407085575"/>
      <w:bookmarkStart w:id="283" w:name="_Toc407086023"/>
      <w:r w:rsidRPr="00376408">
        <w:rPr>
          <w:rFonts w:ascii="Arial" w:hAnsi="Arial" w:cs="Arial"/>
        </w:rPr>
        <w:t>5.5. Utrzymanie koryta oraz wyprofilowanego i zagęszczonego podłoża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Podłoże (koryto) po wyprofilowaniu i zagęszczeniu powinno być utrzymywane w dobrym stanie.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wyprofilowane i zagęszczone podłoże uległo nadmiernemu zawilgoceniu, to do układania kolejnej warstwy można przystąpić dopiero po jego naturalnym osuszeniu.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284" w:name="_Toc406913856"/>
      <w:bookmarkStart w:id="285" w:name="_Toc406914101"/>
      <w:bookmarkStart w:id="286" w:name="_Toc406914756"/>
      <w:bookmarkStart w:id="287" w:name="_Toc406915334"/>
      <w:bookmarkStart w:id="288" w:name="_Toc406984027"/>
      <w:bookmarkStart w:id="289" w:name="_Toc406984174"/>
      <w:bookmarkStart w:id="290" w:name="_Toc406984365"/>
      <w:bookmarkStart w:id="291" w:name="_Toc407069573"/>
      <w:bookmarkStart w:id="292" w:name="_Toc407081538"/>
      <w:bookmarkStart w:id="293" w:name="_Toc407083337"/>
      <w:bookmarkStart w:id="294" w:name="_Toc407084171"/>
      <w:bookmarkStart w:id="295" w:name="_Toc407085290"/>
      <w:bookmarkStart w:id="296" w:name="_Toc407085433"/>
      <w:bookmarkStart w:id="297" w:name="_Toc407085576"/>
      <w:bookmarkStart w:id="298" w:name="_Toc407086024"/>
      <w:r w:rsidRPr="00376408">
        <w:rPr>
          <w:rFonts w:ascii="Arial" w:hAnsi="Arial" w:cs="Arial"/>
          <w:color w:val="000080"/>
        </w:rPr>
        <w:t>6. kontrola jakości robót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299" w:name="_Toc406913857"/>
      <w:bookmarkStart w:id="300" w:name="_Toc406914102"/>
      <w:bookmarkStart w:id="301" w:name="_Toc406914757"/>
      <w:bookmarkStart w:id="302" w:name="_Toc406915335"/>
      <w:bookmarkStart w:id="303" w:name="_Toc406984028"/>
      <w:bookmarkStart w:id="304" w:name="_Toc406984175"/>
      <w:bookmarkStart w:id="305" w:name="_Toc406984366"/>
      <w:bookmarkStart w:id="306" w:name="_Toc407069574"/>
      <w:bookmarkStart w:id="307" w:name="_Toc407081539"/>
      <w:bookmarkStart w:id="308" w:name="_Toc407083338"/>
      <w:bookmarkStart w:id="309" w:name="_Toc407084172"/>
      <w:bookmarkStart w:id="310" w:name="_Toc407085291"/>
      <w:bookmarkStart w:id="311" w:name="_Toc407085434"/>
      <w:bookmarkStart w:id="312" w:name="_Toc407085577"/>
      <w:bookmarkStart w:id="313" w:name="_Toc407086025"/>
      <w:r w:rsidRPr="00376408">
        <w:rPr>
          <w:rFonts w:ascii="Arial" w:hAnsi="Arial" w:cs="Arial"/>
        </w:rPr>
        <w:t>6.1. Ogólne zasady kontroli jakości robót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314" w:name="_Toc406913858"/>
      <w:bookmarkStart w:id="315" w:name="_Toc406914103"/>
      <w:bookmarkStart w:id="316" w:name="_Toc406914758"/>
      <w:bookmarkStart w:id="317" w:name="_Toc406915336"/>
      <w:bookmarkStart w:id="318" w:name="_Toc406984029"/>
      <w:bookmarkStart w:id="319" w:name="_Toc406984176"/>
      <w:bookmarkStart w:id="320" w:name="_Toc406984367"/>
      <w:bookmarkStart w:id="321" w:name="_Toc407069575"/>
      <w:bookmarkStart w:id="322" w:name="_Toc407081540"/>
      <w:bookmarkStart w:id="323" w:name="_Toc407083339"/>
      <w:bookmarkStart w:id="324" w:name="_Toc407084173"/>
      <w:bookmarkStart w:id="325" w:name="_Toc407085292"/>
      <w:bookmarkStart w:id="326" w:name="_Toc407085435"/>
      <w:bookmarkStart w:id="327" w:name="_Toc407085578"/>
      <w:bookmarkStart w:id="328" w:name="_Toc407086026"/>
      <w:r w:rsidRPr="00376408">
        <w:rPr>
          <w:rFonts w:ascii="Arial" w:hAnsi="Arial" w:cs="Arial"/>
        </w:rPr>
        <w:t>6.2. Badania w czasie robót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B377F6" w:rsidRPr="00376408" w:rsidRDefault="00B377F6" w:rsidP="00B377F6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6.2.1. </w:t>
      </w:r>
      <w:r w:rsidRPr="00376408">
        <w:rPr>
          <w:rFonts w:ascii="Arial" w:hAnsi="Arial" w:cs="Arial"/>
          <w:sz w:val="20"/>
          <w:szCs w:val="20"/>
        </w:rPr>
        <w:t>Częstotliwość oraz zakres badań i pomiarów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Częstotliwość oraz zakres badań i pomiarów dotyczących cech geometrycznych i zagęszczenia koryta i wyprofilowanego podłoża podaje tablica 2.</w:t>
      </w:r>
    </w:p>
    <w:p w:rsidR="00B377F6" w:rsidRPr="00376408" w:rsidRDefault="00B377F6" w:rsidP="00B377F6">
      <w:pPr>
        <w:spacing w:before="120" w:after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2.</w:t>
      </w:r>
      <w:r w:rsidRPr="00376408">
        <w:rPr>
          <w:rFonts w:ascii="Arial" w:hAnsi="Arial" w:cs="Arial"/>
          <w:sz w:val="20"/>
          <w:szCs w:val="20"/>
        </w:rPr>
        <w:tab/>
        <w:t>Częstotliwość oraz zakres badań i pomiarów wykonanego koryta i wyprofilowanego podłoża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2671"/>
        <w:gridCol w:w="4703"/>
      </w:tblGrid>
      <w:tr w:rsidR="00B377F6" w:rsidRPr="00DC095D" w:rsidTr="00197D78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Wyszczególnienie badań</w:t>
            </w:r>
          </w:p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Minimalna częstotliwość</w:t>
            </w:r>
          </w:p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badań i pomiarów</w:t>
            </w:r>
          </w:p>
        </w:tc>
      </w:tr>
      <w:tr w:rsidR="00B377F6" w:rsidRPr="00DC095D" w:rsidTr="00197D78"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Szerokość koryta</w:t>
            </w:r>
          </w:p>
        </w:tc>
        <w:tc>
          <w:tcPr>
            <w:tcW w:w="4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B377F6" w:rsidRPr="00DC095D" w:rsidTr="00197D78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20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na każdym pasie ruchu</w:t>
            </w:r>
          </w:p>
        </w:tc>
      </w:tr>
      <w:tr w:rsidR="00B377F6" w:rsidRPr="00DC095D" w:rsidTr="00197D78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B377F6" w:rsidRPr="00DC095D" w:rsidTr="00197D78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Spadki poprzeczne </w:t>
            </w:r>
            <w:r w:rsidRPr="00DC095D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B377F6" w:rsidRPr="00DC095D" w:rsidTr="00197D78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12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2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25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100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dla pozostałych dróg</w:t>
            </w:r>
          </w:p>
        </w:tc>
      </w:tr>
      <w:tr w:rsidR="00B377F6" w:rsidRPr="00DC095D" w:rsidTr="00197D78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Ukształtowanie osi w planie </w:t>
            </w:r>
            <w:r w:rsidRPr="00DC095D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25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100 m</w:t>
              </w:r>
            </w:smartTag>
            <w:r w:rsidRPr="00DC095D">
              <w:rPr>
                <w:rFonts w:ascii="Arial" w:hAnsi="Arial" w:cs="Arial"/>
                <w:sz w:val="20"/>
                <w:szCs w:val="20"/>
              </w:rPr>
              <w:t xml:space="preserve"> dla pozostałych dróg</w:t>
            </w:r>
          </w:p>
        </w:tc>
      </w:tr>
      <w:tr w:rsidR="00B377F6" w:rsidRPr="00DC095D" w:rsidTr="00197D78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12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2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2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DC095D">
                <w:rPr>
                  <w:rFonts w:ascii="Arial" w:hAnsi="Arial" w:cs="Arial"/>
                  <w:sz w:val="20"/>
                  <w:szCs w:val="20"/>
                </w:rPr>
                <w:t>600 m</w:t>
              </w:r>
              <w:r w:rsidRPr="00DC095D">
                <w:rPr>
                  <w:rFonts w:ascii="Arial" w:hAnsi="Arial" w:cs="Arial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B377F6" w:rsidRPr="00DC095D" w:rsidTr="00197D78">
        <w:tc>
          <w:tcPr>
            <w:tcW w:w="7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377F6" w:rsidRPr="00DC095D" w:rsidRDefault="00B377F6" w:rsidP="00197D78">
            <w:pPr>
              <w:spacing w:before="2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bookmarkStart w:id="329" w:name="_Toc406822339"/>
            <w:bookmarkStart w:id="330" w:name="_Toc406913859"/>
            <w:bookmarkStart w:id="331" w:name="_Toc406914104"/>
            <w:r w:rsidRPr="00DC095D">
              <w:rPr>
                <w:rFonts w:ascii="Arial" w:hAnsi="Arial" w:cs="Arial"/>
                <w:sz w:val="20"/>
                <w:szCs w:val="20"/>
              </w:rPr>
              <w:t>*) Dodatkowe pomiary spadków poprzecznych i ukształtowania osi w planie należy wykonać w punktach głównych łuków poziomych</w:t>
            </w:r>
            <w:bookmarkEnd w:id="329"/>
            <w:bookmarkEnd w:id="330"/>
            <w:bookmarkEnd w:id="331"/>
            <w:r w:rsidRPr="00DC095D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B377F6" w:rsidRPr="00376408" w:rsidRDefault="00B377F6" w:rsidP="00B377F6">
      <w:pPr>
        <w:spacing w:before="24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6.2.2. </w:t>
      </w:r>
      <w:r w:rsidRPr="00376408">
        <w:rPr>
          <w:rFonts w:ascii="Arial" w:hAnsi="Arial" w:cs="Arial"/>
          <w:sz w:val="20"/>
          <w:szCs w:val="20"/>
        </w:rPr>
        <w:t>Szerokość koryta (profilowanego podłoża)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Szerokość koryta i profilowanego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  <w:sz w:val="20"/>
            <w:szCs w:val="20"/>
          </w:rPr>
          <w:t>10 cm</w:t>
        </w:r>
      </w:smartTag>
      <w:r w:rsidRPr="00376408">
        <w:rPr>
          <w:rFonts w:ascii="Arial" w:hAnsi="Arial" w:cs="Arial"/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-5 cm"/>
        </w:smartTagPr>
        <w:r w:rsidRPr="00376408">
          <w:rPr>
            <w:rFonts w:ascii="Arial" w:hAnsi="Arial" w:cs="Arial"/>
            <w:sz w:val="20"/>
            <w:szCs w:val="20"/>
          </w:rPr>
          <w:t xml:space="preserve">-5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B377F6" w:rsidRPr="00376408" w:rsidRDefault="00B377F6" w:rsidP="00B377F6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6.2.3. </w:t>
      </w:r>
      <w:r w:rsidRPr="00376408">
        <w:rPr>
          <w:rFonts w:ascii="Arial" w:hAnsi="Arial" w:cs="Arial"/>
          <w:sz w:val="20"/>
          <w:szCs w:val="20"/>
        </w:rPr>
        <w:t>Równość koryta (profilowanego podłoża)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Nierówności podłużne koryta i profilowanego podłoża należy mierzyć 4-metrową łatą zgodnie z normą BN-68/8931-04 [4].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Nierówności poprzeczne należy mierzyć 4-metrową łatą.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  <w:sz w:val="20"/>
            <w:szCs w:val="20"/>
          </w:rPr>
          <w:t xml:space="preserve">20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mm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B377F6" w:rsidRPr="00376408" w:rsidRDefault="00B377F6" w:rsidP="00B377F6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6.2.4. </w:t>
      </w:r>
      <w:r w:rsidRPr="00376408">
        <w:rPr>
          <w:rFonts w:ascii="Arial" w:hAnsi="Arial" w:cs="Arial"/>
          <w:sz w:val="20"/>
          <w:szCs w:val="20"/>
        </w:rPr>
        <w:t>Spadki poprzeczne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Spadki poprzeczne koryta i profilowanego podłoża powinny być zgodne z dokumentacją projektową z tolerancją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0,5%.</w:t>
      </w:r>
    </w:p>
    <w:p w:rsidR="00B377F6" w:rsidRPr="00376408" w:rsidRDefault="00B377F6" w:rsidP="00B377F6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6.2.5. </w:t>
      </w:r>
      <w:r w:rsidRPr="00376408">
        <w:rPr>
          <w:rFonts w:ascii="Arial" w:hAnsi="Arial" w:cs="Arial"/>
          <w:sz w:val="20"/>
          <w:szCs w:val="20"/>
        </w:rPr>
        <w:t>Rzędne wysokościowe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  <w:sz w:val="20"/>
            <w:szCs w:val="20"/>
          </w:rPr>
          <w:t>1 cm</w:t>
        </w:r>
      </w:smartTag>
      <w:r w:rsidRPr="00376408">
        <w:rPr>
          <w:rFonts w:ascii="Arial" w:hAnsi="Arial" w:cs="Arial"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376408">
          <w:rPr>
            <w:rFonts w:ascii="Arial" w:hAnsi="Arial" w:cs="Arial"/>
            <w:sz w:val="20"/>
            <w:szCs w:val="20"/>
          </w:rPr>
          <w:t xml:space="preserve">-2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B377F6" w:rsidRPr="00376408" w:rsidRDefault="00B377F6" w:rsidP="00B377F6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6.2.6. </w:t>
      </w:r>
      <w:r w:rsidRPr="00376408">
        <w:rPr>
          <w:rFonts w:ascii="Arial" w:hAnsi="Arial" w:cs="Arial"/>
          <w:sz w:val="20"/>
          <w:szCs w:val="20"/>
        </w:rPr>
        <w:t>Ukształtowanie osi w planie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Oś w planie nie może być przesunięta w stosunku do osi projektowanej o więcej niż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  <w:sz w:val="20"/>
            <w:szCs w:val="20"/>
          </w:rPr>
          <w:t>3 cm</w:t>
        </w:r>
      </w:smartTag>
      <w:r w:rsidRPr="00376408">
        <w:rPr>
          <w:rFonts w:ascii="Arial" w:hAnsi="Arial" w:cs="Arial"/>
          <w:sz w:val="20"/>
          <w:szCs w:val="20"/>
        </w:rPr>
        <w:t xml:space="preserve"> dla autostrad i dróg ekspresowych lub więcej niż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>5 cm</w:t>
        </w:r>
      </w:smartTag>
      <w:r w:rsidRPr="00376408">
        <w:rPr>
          <w:rFonts w:ascii="Arial" w:hAnsi="Arial" w:cs="Arial"/>
          <w:sz w:val="20"/>
          <w:szCs w:val="20"/>
        </w:rPr>
        <w:t xml:space="preserve"> dla pozostałych dróg.</w:t>
      </w:r>
    </w:p>
    <w:p w:rsidR="00B377F6" w:rsidRPr="00376408" w:rsidRDefault="00B377F6" w:rsidP="00B377F6">
      <w:pPr>
        <w:spacing w:before="120"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6.2.7. </w:t>
      </w:r>
      <w:r w:rsidRPr="00376408">
        <w:rPr>
          <w:rFonts w:ascii="Arial" w:hAnsi="Arial" w:cs="Arial"/>
          <w:sz w:val="20"/>
          <w:szCs w:val="20"/>
        </w:rPr>
        <w:t>Zagęszczenie koryta (profilowanego podłoża)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Wskaźnik zagęszczenia koryta i wyprofilowanego podłoża określony wg BN-77/8931-12 [5] nie powinien być mniejszy od podanego w tablicy 1.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Wilgotność w czasie zagęszczania należy badać według PN-B-06714-17 [2]. Wilgotność gruntu podłoża powinna być równa wilgotności optymalnej z tolerancją od -20% do + 10%.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  <w:b w:val="0"/>
          <w:bCs w:val="0"/>
        </w:rPr>
      </w:pPr>
      <w:bookmarkStart w:id="332" w:name="_Toc406913860"/>
      <w:bookmarkStart w:id="333" w:name="_Toc406914105"/>
      <w:bookmarkStart w:id="334" w:name="_Toc406914759"/>
      <w:bookmarkStart w:id="335" w:name="_Toc406914862"/>
      <w:bookmarkStart w:id="336" w:name="_Toc406915337"/>
      <w:bookmarkStart w:id="337" w:name="_Toc406984030"/>
      <w:bookmarkStart w:id="338" w:name="_Toc406984177"/>
      <w:bookmarkStart w:id="339" w:name="_Toc406984368"/>
      <w:bookmarkStart w:id="340" w:name="_Toc407069576"/>
      <w:bookmarkStart w:id="341" w:name="_Toc407081541"/>
      <w:bookmarkStart w:id="342" w:name="_Toc407083340"/>
      <w:bookmarkStart w:id="343" w:name="_Toc407084174"/>
      <w:bookmarkStart w:id="344" w:name="_Toc407085293"/>
      <w:bookmarkStart w:id="345" w:name="_Toc407085436"/>
      <w:bookmarkStart w:id="346" w:name="_Toc407085579"/>
      <w:bookmarkStart w:id="347" w:name="_Toc407086027"/>
      <w:r w:rsidRPr="00376408">
        <w:rPr>
          <w:rFonts w:ascii="Arial" w:hAnsi="Arial" w:cs="Arial"/>
        </w:rPr>
        <w:t>6.3. Zasady postępowania z wadliwie wykonanymi odcinkami koryta (profilowanego</w:t>
      </w:r>
      <w:bookmarkEnd w:id="332"/>
      <w:bookmarkEnd w:id="333"/>
      <w:bookmarkEnd w:id="334"/>
      <w:bookmarkEnd w:id="335"/>
      <w:bookmarkEnd w:id="336"/>
      <w:r w:rsidRPr="00376408">
        <w:rPr>
          <w:rFonts w:ascii="Arial" w:hAnsi="Arial" w:cs="Arial"/>
        </w:rPr>
        <w:t xml:space="preserve"> podłoża)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Wszystkie powierzchnie, które wykazują większe odchylenia cech geometrycznych od określonych w punkcie 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  <w:sz w:val="20"/>
            <w:szCs w:val="20"/>
          </w:rPr>
          <w:t>10 cm</w:t>
        </w:r>
      </w:smartTag>
      <w:r w:rsidRPr="00376408">
        <w:rPr>
          <w:rFonts w:ascii="Arial" w:hAnsi="Arial" w:cs="Arial"/>
          <w:sz w:val="20"/>
          <w:szCs w:val="20"/>
        </w:rPr>
        <w:t>, wyrównanie i powtórne zagęszczenie. Dodanie nowego materiału bez spulchnienia wykonanej warstwy jest niedopuszczalne.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348" w:name="_Toc406913861"/>
      <w:bookmarkStart w:id="349" w:name="_Toc406914106"/>
      <w:bookmarkStart w:id="350" w:name="_Toc406914760"/>
      <w:bookmarkStart w:id="351" w:name="_Toc406915338"/>
      <w:bookmarkStart w:id="352" w:name="_Toc406984031"/>
      <w:bookmarkStart w:id="353" w:name="_Toc406984178"/>
      <w:bookmarkStart w:id="354" w:name="_Toc406984369"/>
      <w:bookmarkStart w:id="355" w:name="_Toc407069577"/>
      <w:bookmarkStart w:id="356" w:name="_Toc407081542"/>
      <w:bookmarkStart w:id="357" w:name="_Toc407083341"/>
      <w:bookmarkStart w:id="358" w:name="_Toc407084175"/>
      <w:bookmarkStart w:id="359" w:name="_Toc407085294"/>
      <w:bookmarkStart w:id="360" w:name="_Toc407085437"/>
      <w:bookmarkStart w:id="361" w:name="_Toc407085580"/>
      <w:bookmarkStart w:id="362" w:name="_Toc407086028"/>
      <w:r w:rsidRPr="00376408">
        <w:rPr>
          <w:rFonts w:ascii="Arial" w:hAnsi="Arial" w:cs="Arial"/>
          <w:color w:val="000080"/>
        </w:rPr>
        <w:t>7. obmiar robót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363" w:name="_Toc406913862"/>
      <w:bookmarkStart w:id="364" w:name="_Toc406914107"/>
      <w:bookmarkStart w:id="365" w:name="_Toc406914761"/>
      <w:bookmarkStart w:id="366" w:name="_Toc406915339"/>
      <w:bookmarkStart w:id="367" w:name="_Toc406984032"/>
      <w:bookmarkStart w:id="368" w:name="_Toc406984179"/>
      <w:bookmarkStart w:id="369" w:name="_Toc406984370"/>
      <w:bookmarkStart w:id="370" w:name="_Toc407069578"/>
      <w:bookmarkStart w:id="371" w:name="_Toc407081543"/>
      <w:bookmarkStart w:id="372" w:name="_Toc407083342"/>
      <w:bookmarkStart w:id="373" w:name="_Toc407084176"/>
      <w:bookmarkStart w:id="374" w:name="_Toc407085295"/>
      <w:bookmarkStart w:id="375" w:name="_Toc407085438"/>
      <w:bookmarkStart w:id="376" w:name="_Toc407085581"/>
      <w:bookmarkStart w:id="377" w:name="_Toc407086029"/>
      <w:r w:rsidRPr="00376408">
        <w:rPr>
          <w:rFonts w:ascii="Arial" w:hAnsi="Arial" w:cs="Arial"/>
        </w:rPr>
        <w:t>7.1. Ogólne zasady obmiaru robót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7.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378" w:name="_Toc406913863"/>
      <w:bookmarkStart w:id="379" w:name="_Toc406914108"/>
      <w:bookmarkStart w:id="380" w:name="_Toc406914762"/>
      <w:bookmarkStart w:id="381" w:name="_Toc406915340"/>
      <w:bookmarkStart w:id="382" w:name="_Toc406984033"/>
      <w:bookmarkStart w:id="383" w:name="_Toc406984180"/>
      <w:bookmarkStart w:id="384" w:name="_Toc406984371"/>
      <w:bookmarkStart w:id="385" w:name="_Toc407069579"/>
      <w:bookmarkStart w:id="386" w:name="_Toc407081544"/>
      <w:bookmarkStart w:id="387" w:name="_Toc407083343"/>
      <w:bookmarkStart w:id="388" w:name="_Toc407084177"/>
      <w:bookmarkStart w:id="389" w:name="_Toc407085296"/>
      <w:bookmarkStart w:id="390" w:name="_Toc407085439"/>
      <w:bookmarkStart w:id="391" w:name="_Toc407085582"/>
      <w:bookmarkStart w:id="392" w:name="_Toc407086030"/>
      <w:r w:rsidRPr="00376408">
        <w:rPr>
          <w:rFonts w:ascii="Arial" w:hAnsi="Arial" w:cs="Arial"/>
        </w:rPr>
        <w:t>7.2. Jednostka obmiarowa</w:t>
      </w:r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Jednostką obmiarową jest 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(metr kwadratowy) wykonanego i odebranego koryta.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393" w:name="_Toc406913864"/>
      <w:bookmarkStart w:id="394" w:name="_Toc406914109"/>
      <w:bookmarkStart w:id="395" w:name="_Toc406914763"/>
      <w:bookmarkStart w:id="396" w:name="_Toc406915341"/>
      <w:bookmarkStart w:id="397" w:name="_Toc406984034"/>
      <w:bookmarkStart w:id="398" w:name="_Toc406984181"/>
      <w:bookmarkStart w:id="399" w:name="_Toc406984372"/>
      <w:bookmarkStart w:id="400" w:name="_Toc407069580"/>
      <w:bookmarkStart w:id="401" w:name="_Toc407081545"/>
      <w:bookmarkStart w:id="402" w:name="_Toc407083344"/>
      <w:bookmarkStart w:id="403" w:name="_Toc407084178"/>
      <w:bookmarkStart w:id="404" w:name="_Toc407085297"/>
      <w:bookmarkStart w:id="405" w:name="_Toc407085440"/>
      <w:bookmarkStart w:id="406" w:name="_Toc407085583"/>
      <w:bookmarkStart w:id="407" w:name="_Toc407086031"/>
      <w:r w:rsidRPr="00376408">
        <w:rPr>
          <w:rFonts w:ascii="Arial" w:hAnsi="Arial" w:cs="Arial"/>
          <w:color w:val="000080"/>
        </w:rPr>
        <w:lastRenderedPageBreak/>
        <w:t>8. odbiór robót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8.</w:t>
      </w:r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408" w:name="_Toc406913865"/>
      <w:bookmarkStart w:id="409" w:name="_Toc406914110"/>
      <w:bookmarkStart w:id="410" w:name="_Toc406914764"/>
      <w:bookmarkStart w:id="411" w:name="_Toc406915342"/>
      <w:bookmarkStart w:id="412" w:name="_Toc406984035"/>
      <w:bookmarkStart w:id="413" w:name="_Toc406984182"/>
      <w:bookmarkStart w:id="414" w:name="_Toc406984373"/>
      <w:bookmarkStart w:id="415" w:name="_Toc407069581"/>
      <w:bookmarkStart w:id="416" w:name="_Toc407081546"/>
      <w:bookmarkStart w:id="417" w:name="_Toc407083345"/>
      <w:bookmarkStart w:id="418" w:name="_Toc407084179"/>
      <w:bookmarkStart w:id="419" w:name="_Toc407085298"/>
      <w:bookmarkStart w:id="420" w:name="_Toc407085441"/>
      <w:bookmarkStart w:id="421" w:name="_Toc407085584"/>
      <w:bookmarkStart w:id="422" w:name="_Toc407086032"/>
      <w:r w:rsidRPr="00376408">
        <w:rPr>
          <w:rFonts w:ascii="Arial" w:hAnsi="Arial" w:cs="Arial"/>
          <w:color w:val="000080"/>
        </w:rPr>
        <w:t>9. podstawa płatności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423" w:name="_Toc406913866"/>
      <w:bookmarkStart w:id="424" w:name="_Toc406914111"/>
      <w:bookmarkStart w:id="425" w:name="_Toc406914765"/>
      <w:bookmarkStart w:id="426" w:name="_Toc406915343"/>
      <w:bookmarkStart w:id="427" w:name="_Toc406984036"/>
      <w:bookmarkStart w:id="428" w:name="_Toc406984183"/>
      <w:bookmarkStart w:id="429" w:name="_Toc406984374"/>
      <w:bookmarkStart w:id="430" w:name="_Toc407069582"/>
      <w:bookmarkStart w:id="431" w:name="_Toc407081547"/>
      <w:bookmarkStart w:id="432" w:name="_Toc407083346"/>
      <w:bookmarkStart w:id="433" w:name="_Toc407084180"/>
      <w:bookmarkStart w:id="434" w:name="_Toc407085299"/>
      <w:bookmarkStart w:id="435" w:name="_Toc407085442"/>
      <w:bookmarkStart w:id="436" w:name="_Toc407085585"/>
      <w:bookmarkStart w:id="437" w:name="_Toc407086033"/>
      <w:r w:rsidRPr="00376408">
        <w:rPr>
          <w:rFonts w:ascii="Arial" w:hAnsi="Arial" w:cs="Arial"/>
        </w:rPr>
        <w:t>9.1. Ogólne ustalenia dotyczące podstawy płatności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9.</w:t>
      </w:r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438" w:name="_Toc406913867"/>
      <w:bookmarkStart w:id="439" w:name="_Toc406914112"/>
      <w:bookmarkStart w:id="440" w:name="_Toc406914766"/>
      <w:bookmarkStart w:id="441" w:name="_Toc406915344"/>
      <w:bookmarkStart w:id="442" w:name="_Toc406984037"/>
      <w:bookmarkStart w:id="443" w:name="_Toc406984184"/>
      <w:bookmarkStart w:id="444" w:name="_Toc406984375"/>
      <w:bookmarkStart w:id="445" w:name="_Toc407069583"/>
      <w:bookmarkStart w:id="446" w:name="_Toc407081548"/>
      <w:bookmarkStart w:id="447" w:name="_Toc407083347"/>
      <w:bookmarkStart w:id="448" w:name="_Toc407084181"/>
      <w:bookmarkStart w:id="449" w:name="_Toc407085300"/>
      <w:bookmarkStart w:id="450" w:name="_Toc407085443"/>
      <w:bookmarkStart w:id="451" w:name="_Toc407085586"/>
      <w:bookmarkStart w:id="452" w:name="_Toc407086034"/>
      <w:r w:rsidRPr="00376408">
        <w:rPr>
          <w:rFonts w:ascii="Arial" w:hAnsi="Arial" w:cs="Arial"/>
        </w:rPr>
        <w:t>9.2. Cena jednostki obmiarowej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</w:p>
    <w:p w:rsidR="00B377F6" w:rsidRPr="00376408" w:rsidRDefault="00B377F6" w:rsidP="00B377F6">
      <w:pPr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  <w:sz w:val="20"/>
            <w:szCs w:val="20"/>
          </w:rPr>
          <w:t>1 m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2</w:t>
        </w:r>
      </w:smartTag>
      <w:r w:rsidRPr="00376408">
        <w:rPr>
          <w:rFonts w:ascii="Arial" w:hAnsi="Arial" w:cs="Arial"/>
          <w:sz w:val="20"/>
          <w:szCs w:val="20"/>
        </w:rPr>
        <w:t xml:space="preserve"> koryta obejmuje: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prace pomiarowe i roboty przygotowawcze,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odspojenie gruntu z przerzutem na pobocze i rozplantowaniem,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załadunek nadmiaru odspojonego gruntu na środki transportowe i odwiezienie na odkład lub nasyp,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profilowanie dna koryta lub podłoża,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zagęszczenie,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utrzymanie koryta lub podłoża,</w:t>
      </w:r>
    </w:p>
    <w:p w:rsidR="00B377F6" w:rsidRPr="00376408" w:rsidRDefault="00B377F6" w:rsidP="00B377F6">
      <w:pPr>
        <w:numPr>
          <w:ilvl w:val="0"/>
          <w:numId w:val="1"/>
        </w:numPr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  <w:sz w:val="20"/>
          <w:szCs w:val="20"/>
        </w:rPr>
        <w:t>przeprowadzenie pomiarów i badań laboratoryjnych, wymaganych w specyfikacji technicznej.</w:t>
      </w:r>
    </w:p>
    <w:p w:rsidR="00B377F6" w:rsidRPr="00376408" w:rsidRDefault="00B377F6" w:rsidP="00B377F6">
      <w:pPr>
        <w:spacing w:after="120"/>
        <w:ind w:left="11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</w:r>
    </w:p>
    <w:p w:rsidR="00B377F6" w:rsidRPr="00376408" w:rsidRDefault="00B377F6" w:rsidP="00B377F6">
      <w:pPr>
        <w:pStyle w:val="Nagwek1"/>
        <w:ind w:left="110"/>
        <w:rPr>
          <w:rFonts w:ascii="Arial" w:hAnsi="Arial" w:cs="Arial"/>
          <w:color w:val="000080"/>
        </w:rPr>
      </w:pPr>
      <w:bookmarkStart w:id="453" w:name="_Toc406913868"/>
      <w:bookmarkStart w:id="454" w:name="_Toc406914113"/>
      <w:bookmarkStart w:id="455" w:name="_Toc406914767"/>
      <w:bookmarkStart w:id="456" w:name="_Toc406915345"/>
      <w:bookmarkStart w:id="457" w:name="_Toc406984038"/>
      <w:bookmarkStart w:id="458" w:name="_Toc406984185"/>
      <w:bookmarkStart w:id="459" w:name="_Toc406984376"/>
      <w:bookmarkStart w:id="460" w:name="_Toc407069584"/>
      <w:bookmarkStart w:id="461" w:name="_Toc407081549"/>
      <w:bookmarkStart w:id="462" w:name="_Toc407083348"/>
      <w:bookmarkStart w:id="463" w:name="_Toc407084182"/>
      <w:bookmarkStart w:id="464" w:name="_Toc407085301"/>
      <w:bookmarkStart w:id="465" w:name="_Toc407085444"/>
      <w:bookmarkStart w:id="466" w:name="_Toc407085587"/>
      <w:bookmarkStart w:id="467" w:name="_Toc407086035"/>
      <w:r w:rsidRPr="00376408">
        <w:rPr>
          <w:rFonts w:ascii="Arial" w:hAnsi="Arial" w:cs="Arial"/>
          <w:color w:val="000080"/>
        </w:rPr>
        <w:t>10. przepisy związane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</w:p>
    <w:p w:rsidR="00B377F6" w:rsidRPr="00376408" w:rsidRDefault="00B377F6" w:rsidP="00B377F6">
      <w:pPr>
        <w:pStyle w:val="Nagwek2"/>
        <w:ind w:left="110"/>
        <w:rPr>
          <w:rFonts w:ascii="Arial" w:hAnsi="Arial" w:cs="Arial"/>
        </w:rPr>
      </w:pPr>
      <w:bookmarkStart w:id="468" w:name="_Toc406913869"/>
      <w:bookmarkStart w:id="469" w:name="_Toc406914114"/>
      <w:bookmarkStart w:id="470" w:name="_Toc406914768"/>
      <w:bookmarkStart w:id="471" w:name="_Toc406915346"/>
      <w:bookmarkStart w:id="472" w:name="_Toc406984039"/>
      <w:bookmarkStart w:id="473" w:name="_Toc406984186"/>
      <w:bookmarkStart w:id="474" w:name="_Toc406984377"/>
      <w:bookmarkStart w:id="475" w:name="_Toc407069585"/>
      <w:bookmarkStart w:id="476" w:name="_Toc407081550"/>
      <w:bookmarkStart w:id="477" w:name="_Toc407083349"/>
      <w:bookmarkStart w:id="478" w:name="_Toc407084183"/>
      <w:bookmarkStart w:id="479" w:name="_Toc407085302"/>
      <w:bookmarkStart w:id="480" w:name="_Toc407085445"/>
      <w:bookmarkStart w:id="481" w:name="_Toc407085588"/>
      <w:bookmarkStart w:id="482" w:name="_Toc407086036"/>
      <w:r w:rsidRPr="00376408">
        <w:rPr>
          <w:rFonts w:ascii="Arial" w:hAnsi="Arial" w:cs="Arial"/>
        </w:rPr>
        <w:t>Normy</w:t>
      </w:r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496"/>
        <w:gridCol w:w="1701"/>
        <w:gridCol w:w="6255"/>
      </w:tblGrid>
      <w:tr w:rsidR="00B377F6" w:rsidRPr="00DC095D" w:rsidTr="00197D78">
        <w:tc>
          <w:tcPr>
            <w:tcW w:w="496" w:type="dxa"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PN-B-04481</w:t>
            </w:r>
          </w:p>
        </w:tc>
        <w:tc>
          <w:tcPr>
            <w:tcW w:w="6255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Grunty budowlane. Badania próbek gruntu</w:t>
            </w:r>
          </w:p>
        </w:tc>
      </w:tr>
      <w:tr w:rsidR="00B377F6" w:rsidRPr="00DC095D" w:rsidTr="00197D78">
        <w:tc>
          <w:tcPr>
            <w:tcW w:w="496" w:type="dxa"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PN-/B-06714-17</w:t>
            </w:r>
          </w:p>
        </w:tc>
        <w:tc>
          <w:tcPr>
            <w:tcW w:w="6255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Kruszywa mineralne. Badania. Oznaczanie wilgotności</w:t>
            </w:r>
          </w:p>
        </w:tc>
      </w:tr>
      <w:tr w:rsidR="00B377F6" w:rsidRPr="00DC095D" w:rsidTr="00197D78">
        <w:tc>
          <w:tcPr>
            <w:tcW w:w="496" w:type="dxa"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BN-64/8931-02</w:t>
            </w:r>
          </w:p>
        </w:tc>
        <w:tc>
          <w:tcPr>
            <w:tcW w:w="6255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B377F6" w:rsidRPr="00DC095D" w:rsidTr="00197D78">
        <w:tc>
          <w:tcPr>
            <w:tcW w:w="496" w:type="dxa"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BN-68/8931-04</w:t>
            </w:r>
          </w:p>
        </w:tc>
        <w:tc>
          <w:tcPr>
            <w:tcW w:w="6255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DC095D">
              <w:rPr>
                <w:rFonts w:ascii="Arial" w:hAnsi="Arial" w:cs="Arial"/>
                <w:sz w:val="20"/>
                <w:szCs w:val="20"/>
              </w:rPr>
              <w:t>planografem</w:t>
            </w:r>
            <w:proofErr w:type="spellEnd"/>
            <w:r w:rsidRPr="00DC095D">
              <w:rPr>
                <w:rFonts w:ascii="Arial" w:hAnsi="Arial" w:cs="Arial"/>
                <w:sz w:val="20"/>
                <w:szCs w:val="20"/>
              </w:rPr>
              <w:t xml:space="preserve"> i łatą</w:t>
            </w:r>
          </w:p>
        </w:tc>
      </w:tr>
      <w:tr w:rsidR="00B377F6" w:rsidRPr="00DC095D" w:rsidTr="00197D78">
        <w:tc>
          <w:tcPr>
            <w:tcW w:w="496" w:type="dxa"/>
          </w:tcPr>
          <w:p w:rsidR="00B377F6" w:rsidRPr="00DC095D" w:rsidRDefault="00B377F6" w:rsidP="00197D78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BN-77/8931-12</w:t>
            </w:r>
          </w:p>
        </w:tc>
        <w:tc>
          <w:tcPr>
            <w:tcW w:w="6255" w:type="dxa"/>
          </w:tcPr>
          <w:p w:rsidR="00B377F6" w:rsidRPr="00DC095D" w:rsidRDefault="00B377F6" w:rsidP="00197D78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  <w:sz w:val="20"/>
                <w:szCs w:val="20"/>
              </w:rPr>
              <w:t>Oznaczanie wskaźnika zagęszczenia gruntu</w:t>
            </w:r>
          </w:p>
        </w:tc>
      </w:tr>
    </w:tbl>
    <w:p w:rsidR="00F10BE3" w:rsidRPr="00B377F6" w:rsidRDefault="00F10BE3" w:rsidP="00B377F6"/>
    <w:sectPr w:rsidR="00F10BE3" w:rsidRPr="00B377F6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77F6"/>
    <w:rsid w:val="001E0814"/>
    <w:rsid w:val="004975AF"/>
    <w:rsid w:val="00B048B7"/>
    <w:rsid w:val="00B377F6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B377F6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B377F6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377F6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377F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B377F6"/>
    <w:rPr>
      <w:color w:val="0000FF"/>
      <w:u w:val="single"/>
    </w:rPr>
  </w:style>
  <w:style w:type="paragraph" w:customStyle="1" w:styleId="tekstost">
    <w:name w:val="tekst ost"/>
    <w:basedOn w:val="Normalny"/>
    <w:rsid w:val="00B377F6"/>
    <w:pPr>
      <w:overflowPunct w:val="0"/>
      <w:adjustRightInd w:val="0"/>
      <w:jc w:val="both"/>
    </w:pPr>
    <w:rPr>
      <w:rFonts w:ascii="Calibri" w:hAnsi="Calibri"/>
      <w:sz w:val="20"/>
      <w:szCs w:val="20"/>
    </w:rPr>
  </w:style>
  <w:style w:type="paragraph" w:customStyle="1" w:styleId="Standardowytekst">
    <w:name w:val="Standardowy.tekst"/>
    <w:link w:val="StandardowytekstZnak"/>
    <w:rsid w:val="00B377F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B377F6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odbudowy\d040101_040301.htm" TargetMode="External"/><Relationship Id="rId13" Type="http://schemas.openxmlformats.org/officeDocument/2006/relationships/hyperlink" Target="file:///E:\OST\DROGOWE%20ROBOTY%20INWESTYCYJNE%20%202.12\ost\Podbudowy\d040101_040301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Podbudowy\d040101_040301.htm" TargetMode="External"/><Relationship Id="rId12" Type="http://schemas.openxmlformats.org/officeDocument/2006/relationships/hyperlink" Target="file:///E:\OST\DROGOWE%20ROBOTY%20INWESTYCYJNE%20%202.12\ost\Podbudowy\d040101_040301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Podbudowy\d040101_040301.htm" TargetMode="External"/><Relationship Id="rId11" Type="http://schemas.openxmlformats.org/officeDocument/2006/relationships/hyperlink" Target="file:///E:\OST\DROGOWE%20ROBOTY%20INWESTYCYJNE%20%202.12\ost\Podbudowy\d040101_040301.htm" TargetMode="External"/><Relationship Id="rId5" Type="http://schemas.openxmlformats.org/officeDocument/2006/relationships/hyperlink" Target="file:///E:\OST\DROGOWE%20ROBOTY%20INWESTYCYJNE%20%202.12\ost\Podbudowy\d040101_040301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OST\DROGOWE%20ROBOTY%20INWESTYCYJNE%20%202.12\ost\Podbudowy\d040101_0403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Podbudowy\d040101_040301.htm" TargetMode="External"/><Relationship Id="rId14" Type="http://schemas.openxmlformats.org/officeDocument/2006/relationships/hyperlink" Target="file:///E:\OST\DROGOWE%20ROBOTY%20INWESTYCYJNE%20%202.12\ost\Podbudowy\d040101_0403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1883</Words>
  <Characters>11298</Characters>
  <Application>Microsoft Office Word</Application>
  <DocSecurity>0</DocSecurity>
  <Lines>94</Lines>
  <Paragraphs>26</Paragraphs>
  <ScaleCrop>false</ScaleCrop>
  <Company>Praca</Company>
  <LinksUpToDate>false</LinksUpToDate>
  <CharactersWithSpaces>13155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2016-03-17T14:48:00Z</dcterms:created>
  <dcterms:modified xsi:type="dcterms:W3CDTF">2016-03-18T14:09:00Z</dcterms:modified>
</cp:coreProperties>
</file>