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8FB" w:rsidRPr="00376408" w:rsidRDefault="00AA68FB" w:rsidP="00AA68FB">
      <w:pPr>
        <w:ind w:left="11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  <w:bookmarkStart w:id="0" w:name="BM8etyk"/>
      <w:r w:rsidRPr="00376408">
        <w:rPr>
          <w:rFonts w:ascii="Arial" w:hAnsi="Arial" w:cs="Arial"/>
          <w:b/>
          <w:bCs/>
          <w:sz w:val="48"/>
          <w:szCs w:val="48"/>
          <w:u w:val="single"/>
        </w:rPr>
        <w:t>Urządzenia bezpieczeństwa ruchu</w:t>
      </w:r>
      <w:bookmarkEnd w:id="0"/>
    </w:p>
    <w:p w:rsidR="00AA68FB" w:rsidRDefault="00AA68FB" w:rsidP="00AA68FB">
      <w:pPr>
        <w:rPr>
          <w:rFonts w:ascii="Arial" w:hAnsi="Arial" w:cs="Arial"/>
          <w:b/>
          <w:bCs/>
          <w:sz w:val="28"/>
          <w:szCs w:val="28"/>
        </w:rPr>
      </w:pPr>
    </w:p>
    <w:p w:rsidR="00AA68FB" w:rsidRPr="00376408" w:rsidRDefault="00AA68FB" w:rsidP="00AA68FB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CB4268" w:rsidRDefault="00CB4268" w:rsidP="00AA68FB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AA68FB" w:rsidRPr="0029262A" w:rsidRDefault="00AA68FB" w:rsidP="00AA68FB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 - 07.01.01</w:t>
      </w:r>
    </w:p>
    <w:p w:rsidR="00AA68FB" w:rsidRPr="0029262A" w:rsidRDefault="00AA68FB" w:rsidP="00AA68FB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OZNAKOWANIE  POZIOME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</w:p>
    <w:p w:rsidR="00AA68FB" w:rsidRPr="004E022F" w:rsidRDefault="00AA68FB" w:rsidP="00AA68FB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4E022F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p w:rsidR="00AA68FB" w:rsidRPr="004E022F" w:rsidRDefault="00AA68FB" w:rsidP="00AA68FB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70"/>
        <w:gridCol w:w="3807"/>
      </w:tblGrid>
      <w:tr w:rsidR="00AA68FB" w:rsidRPr="004E022F" w:rsidTr="00B8596D">
        <w:trPr>
          <w:jc w:val="center"/>
        </w:trPr>
        <w:tc>
          <w:tcPr>
            <w:tcW w:w="870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807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19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-   ogólna specyfikacja techniczna</w:t>
            </w:r>
          </w:p>
        </w:tc>
      </w:tr>
      <w:tr w:rsidR="00AA68FB" w:rsidRPr="004E022F" w:rsidTr="00B8596D">
        <w:trPr>
          <w:jc w:val="center"/>
        </w:trPr>
        <w:tc>
          <w:tcPr>
            <w:tcW w:w="870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807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19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-   szczegółowa specyfikacja techniczna</w:t>
            </w:r>
          </w:p>
        </w:tc>
      </w:tr>
      <w:tr w:rsidR="00AA68FB" w:rsidRPr="004E022F" w:rsidTr="00B8596D">
        <w:trPr>
          <w:jc w:val="center"/>
        </w:trPr>
        <w:tc>
          <w:tcPr>
            <w:tcW w:w="870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22F">
              <w:rPr>
                <w:rFonts w:ascii="Arial" w:hAnsi="Arial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3807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19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-   Instytut Badawczy Dróg i Mostów</w:t>
            </w:r>
          </w:p>
        </w:tc>
      </w:tr>
      <w:tr w:rsidR="00AA68FB" w:rsidRPr="004E022F" w:rsidTr="00B8596D">
        <w:trPr>
          <w:jc w:val="center"/>
        </w:trPr>
        <w:tc>
          <w:tcPr>
            <w:tcW w:w="870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% (m/m)</w:t>
            </w:r>
          </w:p>
        </w:tc>
        <w:tc>
          <w:tcPr>
            <w:tcW w:w="3807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19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-   procent masowy</w:t>
            </w:r>
          </w:p>
        </w:tc>
      </w:tr>
      <w:tr w:rsidR="00AA68FB" w:rsidRPr="004E022F" w:rsidTr="00B8596D">
        <w:trPr>
          <w:jc w:val="center"/>
        </w:trPr>
        <w:tc>
          <w:tcPr>
            <w:tcW w:w="870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022F">
              <w:rPr>
                <w:rFonts w:ascii="Arial" w:hAnsi="Arial" w:cs="Arial"/>
                <w:sz w:val="20"/>
                <w:szCs w:val="20"/>
                <w:lang w:val="en-US"/>
              </w:rPr>
              <w:t>SRT</w:t>
            </w:r>
          </w:p>
        </w:tc>
        <w:tc>
          <w:tcPr>
            <w:tcW w:w="3807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19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 xml:space="preserve">-   </w:t>
            </w:r>
            <w:proofErr w:type="spellStart"/>
            <w:r w:rsidRPr="004E022F">
              <w:rPr>
                <w:rFonts w:ascii="Arial" w:hAnsi="Arial" w:cs="Arial"/>
                <w:sz w:val="20"/>
                <w:szCs w:val="20"/>
              </w:rPr>
              <w:t>Skid</w:t>
            </w:r>
            <w:proofErr w:type="spellEnd"/>
            <w:r w:rsidRPr="004E02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22F">
              <w:rPr>
                <w:rFonts w:ascii="Arial" w:hAnsi="Arial" w:cs="Arial"/>
                <w:sz w:val="20"/>
                <w:szCs w:val="20"/>
              </w:rPr>
              <w:t>Resistance</w:t>
            </w:r>
            <w:proofErr w:type="spellEnd"/>
            <w:r w:rsidRPr="004E022F">
              <w:rPr>
                <w:rFonts w:ascii="Arial" w:hAnsi="Arial" w:cs="Arial"/>
                <w:sz w:val="20"/>
                <w:szCs w:val="20"/>
              </w:rPr>
              <w:t xml:space="preserve"> Tester (aparat - wahadło  do pomiaru szorstkości powierzchni)</w:t>
            </w:r>
          </w:p>
        </w:tc>
      </w:tr>
      <w:tr w:rsidR="00AA68FB" w:rsidRPr="004E022F" w:rsidTr="00B8596D">
        <w:trPr>
          <w:jc w:val="center"/>
        </w:trPr>
        <w:tc>
          <w:tcPr>
            <w:tcW w:w="870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PEO</w:t>
            </w:r>
          </w:p>
        </w:tc>
        <w:tc>
          <w:tcPr>
            <w:tcW w:w="3807" w:type="dxa"/>
          </w:tcPr>
          <w:p w:rsidR="00AA68FB" w:rsidRPr="004E022F" w:rsidRDefault="00AA68FB" w:rsidP="00B8596D">
            <w:pPr>
              <w:tabs>
                <w:tab w:val="right" w:leader="dot" w:pos="-1985"/>
                <w:tab w:val="left" w:pos="19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22F">
              <w:rPr>
                <w:rFonts w:ascii="Arial" w:hAnsi="Arial" w:cs="Arial"/>
                <w:sz w:val="20"/>
                <w:szCs w:val="20"/>
              </w:rPr>
              <w:t>-   punktowy element odblaskowy</w:t>
            </w:r>
          </w:p>
        </w:tc>
      </w:tr>
    </w:tbl>
    <w:p w:rsidR="00AA68FB" w:rsidRPr="00376408" w:rsidRDefault="00AA68FB" w:rsidP="00AA68FB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AA68FB" w:rsidRPr="00376408" w:rsidRDefault="00AA68FB" w:rsidP="00AA68FB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5" w:anchor="_Toc131919910" w:history="1">
        <w:r w:rsidR="00AA68FB" w:rsidRPr="00376408">
          <w:rPr>
            <w:rStyle w:val="Hipercze"/>
            <w:rFonts w:ascii="Arial" w:hAnsi="Arial" w:cs="Arial"/>
            <w:noProof/>
          </w:rPr>
          <w:t>1. WSTĘP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6" w:anchor="_Toc131919911" w:history="1">
        <w:r w:rsidR="00AA68FB" w:rsidRPr="00376408">
          <w:rPr>
            <w:rStyle w:val="Hipercze"/>
            <w:rFonts w:ascii="Arial" w:hAnsi="Arial" w:cs="Arial"/>
            <w:noProof/>
          </w:rPr>
          <w:t>2. materiały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7" w:anchor="_Toc131919912" w:history="1">
        <w:r w:rsidR="00AA68FB" w:rsidRPr="00376408">
          <w:rPr>
            <w:rStyle w:val="Hipercze"/>
            <w:rFonts w:ascii="Arial" w:hAnsi="Arial" w:cs="Arial"/>
            <w:noProof/>
          </w:rPr>
          <w:t>3. sprzęt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8" w:anchor="_Toc131919913" w:history="1">
        <w:r w:rsidR="00AA68FB" w:rsidRPr="00376408">
          <w:rPr>
            <w:rStyle w:val="Hipercze"/>
            <w:rFonts w:ascii="Arial" w:hAnsi="Arial" w:cs="Arial"/>
            <w:noProof/>
          </w:rPr>
          <w:t>4. transport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9" w:anchor="_Toc131919914" w:history="1">
        <w:r w:rsidR="00AA68FB" w:rsidRPr="00376408">
          <w:rPr>
            <w:rStyle w:val="Hipercze"/>
            <w:rFonts w:ascii="Arial" w:hAnsi="Arial" w:cs="Arial"/>
            <w:noProof/>
          </w:rPr>
          <w:t>5. wykonanie robót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0" w:anchor="_Toc131919915" w:history="1">
        <w:r w:rsidR="00AA68FB" w:rsidRPr="00376408">
          <w:rPr>
            <w:rStyle w:val="Hipercze"/>
            <w:rFonts w:ascii="Arial" w:hAnsi="Arial" w:cs="Arial"/>
            <w:noProof/>
          </w:rPr>
          <w:t>6. kontrola jakości robót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1" w:anchor="_Toc131919916" w:history="1">
        <w:r w:rsidR="00AA68FB" w:rsidRPr="00376408">
          <w:rPr>
            <w:rStyle w:val="Hipercze"/>
            <w:rFonts w:ascii="Arial" w:hAnsi="Arial" w:cs="Arial"/>
            <w:noProof/>
          </w:rPr>
          <w:t>7. Obmiar robót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2" w:anchor="_Toc131919917" w:history="1">
        <w:r w:rsidR="00AA68FB" w:rsidRPr="00376408">
          <w:rPr>
            <w:rStyle w:val="Hipercze"/>
            <w:rFonts w:ascii="Arial" w:hAnsi="Arial" w:cs="Arial"/>
            <w:noProof/>
          </w:rPr>
          <w:t>8. odbiór robót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3" w:anchor="_Toc131919918" w:history="1">
        <w:r w:rsidR="00AA68FB" w:rsidRPr="00376408">
          <w:rPr>
            <w:rStyle w:val="Hipercze"/>
            <w:rFonts w:ascii="Arial" w:hAnsi="Arial" w:cs="Arial"/>
            <w:noProof/>
          </w:rPr>
          <w:t>9. podstawa płatności</w:t>
        </w:r>
      </w:hyperlink>
    </w:p>
    <w:p w:rsidR="00AA68FB" w:rsidRPr="00376408" w:rsidRDefault="00625EF8" w:rsidP="00AA68FB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4" w:anchor="_Toc131919919" w:history="1">
        <w:r w:rsidR="00AA68FB" w:rsidRPr="00376408">
          <w:rPr>
            <w:rStyle w:val="Hipercze"/>
            <w:rFonts w:ascii="Arial" w:hAnsi="Arial" w:cs="Arial"/>
            <w:noProof/>
          </w:rPr>
          <w:t>10. przepisy  związane</w:t>
        </w:r>
      </w:hyperlink>
    </w:p>
    <w:p w:rsidR="00AA68FB" w:rsidRPr="00376408" w:rsidRDefault="00AA68FB" w:rsidP="00AA68FB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p w:rsidR="00AA68FB" w:rsidRPr="00376408" w:rsidRDefault="00AA68FB" w:rsidP="00AA68FB">
      <w:pPr>
        <w:pStyle w:val="Nagwek1"/>
        <w:ind w:left="110"/>
        <w:rPr>
          <w:rFonts w:ascii="Arial" w:hAnsi="Arial" w:cs="Arial"/>
        </w:rPr>
      </w:pPr>
      <w:bookmarkStart w:id="1" w:name="_Toc131919910"/>
      <w:r w:rsidRPr="00376408">
        <w:rPr>
          <w:rFonts w:ascii="Arial" w:hAnsi="Arial" w:cs="Arial"/>
        </w:rPr>
        <w:t>1. WSTĘP</w:t>
      </w:r>
      <w:bookmarkEnd w:id="1"/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AA68FB" w:rsidRPr="00376408" w:rsidRDefault="00AA68FB" w:rsidP="00AA68FB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Przedmiotem niniejszej ogólnej specyfikacji technicznej (OST) są wymagania dotyczące wykonania i odbioru oznakowania poziomego dróg.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AA68FB" w:rsidRPr="00376408" w:rsidRDefault="00AA68FB" w:rsidP="00AA68FB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</w:t>
      </w:r>
    </w:p>
    <w:p w:rsidR="00AA68FB" w:rsidRPr="0029262A" w:rsidRDefault="00AA68FB" w:rsidP="00AA68FB">
      <w:pPr>
        <w:pStyle w:val="Standardowytekst"/>
        <w:ind w:left="110"/>
        <w:rPr>
          <w:rFonts w:ascii="Arial" w:hAnsi="Arial" w:cs="Arial"/>
          <w:sz w:val="22"/>
          <w:szCs w:val="22"/>
        </w:rPr>
      </w:pPr>
      <w:r w:rsidRPr="00376408">
        <w:tab/>
      </w:r>
      <w:r w:rsidRPr="0029262A">
        <w:rPr>
          <w:sz w:val="22"/>
          <w:szCs w:val="22"/>
        </w:rPr>
        <w:t>Zaleca się wykorzystanie OST przy zlecaniu robót na drogach wojewódzkich, powiatowych i gminnych.</w:t>
      </w:r>
      <w:r w:rsidRPr="0029262A">
        <w:rPr>
          <w:sz w:val="22"/>
          <w:szCs w:val="22"/>
        </w:rPr>
        <w:tab/>
      </w:r>
    </w:p>
    <w:p w:rsidR="00AA68FB" w:rsidRPr="00376408" w:rsidRDefault="00AA68FB" w:rsidP="00AA68FB">
      <w:pPr>
        <w:ind w:left="110"/>
        <w:rPr>
          <w:rFonts w:ascii="Arial" w:hAnsi="Arial" w:cs="Arial"/>
          <w:sz w:val="19"/>
          <w:szCs w:val="19"/>
        </w:rPr>
        <w:sectPr w:rsidR="00AA68FB" w:rsidRPr="00376408" w:rsidSect="00AF627B">
          <w:pgSz w:w="11907" w:h="16840"/>
          <w:pgMar w:top="719" w:right="576" w:bottom="719" w:left="990" w:header="1985" w:footer="1531" w:gutter="0"/>
          <w:cols w:space="708"/>
          <w:titlePg/>
          <w:rtlGutter/>
        </w:sectPr>
      </w:pP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1.3. Zakres robót objętych OST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Ustalenia zawarte w niniejszej specyfikacji dotyczą zasad prowadzenia robót związanych z wykonywaniem i odbiorem oznakowania poziomego stosowanego na drogach o nawierzchni twardej.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Oznakowanie poziome - znaki drogowe poziome, umieszczone na nawierzchni w postaci linii ciągłych lub przerywanych, pojedynczych lub podwójnych, strzałek, napisów, symboli oraz innych linii związanych z oznaczeniem określonych miejsc na tej nawierzchni. W zależności od rodzaju i sposobu zastosowania znaki poziome mogą mieć znaczenie prowadzące, segregujące, informujące, ostrzegawcze, zakazujące lub nakazujące.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>Znaki podłużne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1.4.3. </w:t>
      </w:r>
      <w:r w:rsidRPr="00376408">
        <w:rPr>
          <w:rFonts w:ascii="Arial" w:hAnsi="Arial" w:cs="Arial"/>
        </w:rPr>
        <w:t>Strzałki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1.4.4. </w:t>
      </w:r>
      <w:r w:rsidRPr="00376408">
        <w:rPr>
          <w:rFonts w:ascii="Arial" w:hAnsi="Arial" w:cs="Arial"/>
        </w:rPr>
        <w:t>Znaki poprzeczne - znaki służące do oznaczenia miejsc przeznaczonych do ruchu pieszych i rowerzystów w poprzek drogi, miejsc wymagających zatrzymania pojazdów oraz miejsc lokalizacji progów zwalniających.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1.4.5. </w:t>
      </w:r>
      <w:r w:rsidRPr="00376408">
        <w:rPr>
          <w:rFonts w:ascii="Arial" w:hAnsi="Arial" w:cs="Arial"/>
        </w:rPr>
        <w:t>Znaki uzupełniające - znaki o różnych kształtach, wymiarach i przeznaczeniu, występujące w postaci symboli, napisów, linii przystankowych, stanowisk i pasów postojowych, powierzchni wyłączonych z ruchu oraz symboli znaków pionowych w oznakowaniu poziomym.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1.4.6. </w:t>
      </w:r>
      <w:r w:rsidRPr="00376408">
        <w:rPr>
          <w:rFonts w:ascii="Arial" w:hAnsi="Arial" w:cs="Arial"/>
        </w:rPr>
        <w:t>Materiały do poziomego znakowania dróg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1.4.7. </w:t>
      </w:r>
      <w:r w:rsidRPr="00376408">
        <w:rPr>
          <w:rFonts w:ascii="Arial" w:hAnsi="Arial" w:cs="Arial"/>
        </w:rPr>
        <w:t xml:space="preserve">Materiały do znakowania cienkowarstwowego - farby rozpuszczalnikowe, wodorozcieńczalne i chemoutwardzalne nakładane warstwą grubości od </w:t>
      </w:r>
      <w:smartTag w:uri="urn:schemas-microsoft-com:office:smarttags" w:element="metricconverter">
        <w:smartTagPr>
          <w:attr w:name="ProductID" w:val="0,4 mm"/>
        </w:smartTagPr>
        <w:r w:rsidRPr="00376408">
          <w:rPr>
            <w:rFonts w:ascii="Arial" w:hAnsi="Arial" w:cs="Arial"/>
          </w:rPr>
          <w:t>0,4 mm</w:t>
        </w:r>
      </w:smartTag>
      <w:r w:rsidRPr="00376408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0,8 mm"/>
        </w:smartTagPr>
        <w:r w:rsidRPr="00376408">
          <w:rPr>
            <w:rFonts w:ascii="Arial" w:hAnsi="Arial" w:cs="Arial"/>
          </w:rPr>
          <w:t>0,8 mm</w:t>
        </w:r>
      </w:smartTag>
      <w:r w:rsidRPr="00376408">
        <w:rPr>
          <w:rFonts w:ascii="Arial" w:hAnsi="Arial" w:cs="Arial"/>
        </w:rPr>
        <w:t>, mierzoną na mokro.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1.4.8. </w:t>
      </w:r>
      <w:r w:rsidRPr="00376408">
        <w:rPr>
          <w:rFonts w:ascii="Arial" w:hAnsi="Arial" w:cs="Arial"/>
        </w:rPr>
        <w:t xml:space="preserve">Materiały do znakowania grubowarstwowego - materiały nakładane warstwą grubości od </w:t>
      </w:r>
      <w:smartTag w:uri="urn:schemas-microsoft-com:office:smarttags" w:element="metricconverter">
        <w:smartTagPr>
          <w:attr w:name="ProductID" w:val="0,9 mm"/>
        </w:smartTagPr>
        <w:r w:rsidRPr="00376408">
          <w:rPr>
            <w:rFonts w:ascii="Arial" w:hAnsi="Arial" w:cs="Arial"/>
          </w:rPr>
          <w:t>0,9 mm</w:t>
        </w:r>
      </w:smartTag>
      <w:r w:rsidRPr="00376408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3,5 mm"/>
        </w:smartTagPr>
        <w:r w:rsidRPr="00376408">
          <w:rPr>
            <w:rFonts w:ascii="Arial" w:hAnsi="Arial" w:cs="Arial"/>
          </w:rPr>
          <w:t xml:space="preserve">3,5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 xml:space="preserve">. Należą do nich masy termoplastyczne i masy chemoutwardzalne stosowane na zimno. Dla linii strukturalnych i profilowanych grubość linii może wynosić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1.4.9. </w:t>
      </w:r>
      <w:r w:rsidRPr="00376408">
        <w:rPr>
          <w:rFonts w:ascii="Arial" w:hAnsi="Arial" w:cs="Arial"/>
        </w:rPr>
        <w:t>Materiały prefabrykowane - materiały, które łączy się z powierzchnią drogi przez klejenie, wtapianie, wbudowanie lub w inny sposób. Zalicza się do nich masy termoplastyczne w arkuszach do wtapiania oraz taśmy do oznakowań tymczasowych (żółte) i trwałych (białe).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1.4.10. </w:t>
      </w:r>
      <w:r w:rsidRPr="00376408">
        <w:rPr>
          <w:rFonts w:ascii="Arial" w:hAnsi="Arial" w:cs="Arial"/>
        </w:rPr>
        <w:t xml:space="preserve">Punktowe elementy odblaskowe - urządzenia prowadzenia poziomego, o różnym kształcie, wielkości i wysokość oraz rodzaju i liczbie zastosowanych </w:t>
      </w:r>
      <w:r w:rsidRPr="00376408">
        <w:rPr>
          <w:rFonts w:ascii="Arial" w:hAnsi="Arial" w:cs="Arial"/>
        </w:rPr>
        <w:lastRenderedPageBreak/>
        <w:t>odbłyśników, które odbijają padające z boku oświetlenie w celu ostrzegania, prowadzenia i informowania użytkowników drogi. Punktowy element odblaskowy może składać się z jednej lub kilku integralnie związanych ze sobą części, może być przyklejony, zakotwiczony  lub wbudowany w nawierzchnię drogi. Część odblaskowa może być jedno lub dwukierunkowa, może się zginać lub nie. Element ten może być typu stałego (P) lub tymczasowego (T).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1.4.11. </w:t>
      </w:r>
      <w:r w:rsidRPr="00376408">
        <w:rPr>
          <w:rFonts w:ascii="Arial" w:hAnsi="Arial" w:cs="Arial"/>
        </w:rPr>
        <w:t>Kulki szklane –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1.4.12. </w:t>
      </w:r>
      <w:r w:rsidRPr="00376408">
        <w:rPr>
          <w:rFonts w:ascii="Arial" w:hAnsi="Arial" w:cs="Arial"/>
        </w:rPr>
        <w:t>Kruszywo przeciwpoślizgowe – twarde ziarna pochodzenia naturalnego lub sztucznego stosowane do zapewnienia własności przeciwpoślizgowych poziomym oznakowaniom dróg, stosowane samo lub w mieszaninie z kulkami szklanymi.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1.4.13. </w:t>
      </w:r>
      <w:r w:rsidRPr="00376408">
        <w:rPr>
          <w:rFonts w:ascii="Arial" w:hAnsi="Arial" w:cs="Arial"/>
        </w:rPr>
        <w:t>Oznakowanie nowe – oznakowanie, w którym zakończył się czas schnięcia i nie upłynęło 30 dni od wykonania oznakowania. Pomiary właściwości oznakowania należy wykonywać od 14 do 30 dnia po wykonaniu oznakowania.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1.4.14. </w:t>
      </w:r>
      <w:r w:rsidRPr="00376408">
        <w:rPr>
          <w:rFonts w:ascii="Arial" w:hAnsi="Arial" w:cs="Arial"/>
        </w:rPr>
        <w:t>Tymczasowe oznakowanie drogowe - oznakowanie z materiału o barwie żółtej, którego czas użytkowania wynosi do 3 miesięcy lub do czasu zakończenia robót.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1.4.15. </w:t>
      </w:r>
      <w:r w:rsidRPr="00376408">
        <w:rPr>
          <w:rFonts w:ascii="Arial" w:hAnsi="Arial" w:cs="Arial"/>
        </w:rPr>
        <w:t xml:space="preserve">Powyższe i pozostałe określenia są zgodne z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 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AA68FB" w:rsidRPr="00376408" w:rsidRDefault="00AA68FB" w:rsidP="00AA68FB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 </w:t>
      </w:r>
    </w:p>
    <w:p w:rsidR="00AA68FB" w:rsidRPr="00376408" w:rsidRDefault="00AA68FB" w:rsidP="00AA68FB">
      <w:pPr>
        <w:pStyle w:val="Nagwek1"/>
        <w:ind w:left="110"/>
        <w:rPr>
          <w:rFonts w:ascii="Arial" w:hAnsi="Arial" w:cs="Arial"/>
        </w:rPr>
      </w:pPr>
      <w:bookmarkStart w:id="2" w:name="_Toc131919911"/>
      <w:r w:rsidRPr="00376408">
        <w:rPr>
          <w:rFonts w:ascii="Arial" w:hAnsi="Arial" w:cs="Arial"/>
        </w:rPr>
        <w:t>2. materiały</w:t>
      </w:r>
      <w:bookmarkEnd w:id="2"/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Dokument dopuszczający do stosowania materiałów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Materiały stosowane przez Wykonawcę do poziomego oznakowania dróg powinny spełniać warunki postawione w rozporządzeniu Ministra Infrastruktury [7]. 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Producenci powinni oznakować wyroby znakiem budowlanym B, zgodnie z rozporządzeniem Ministra Infrastruktury [8], co oznacza wystawienie deklaracji zgodności z aprobatą techniczną (np. dla farb oraz mas chemoutwardzalnych i termoplastycznych) lub  znakiem CE, zgodnie z rozporządzeniem Ministra Infrastruktury [12], co oznacza wystawienie deklaracji zgodności z normą zharmonizowaną (np. dla kulek szklanych [3, 3a] i punktowych elementów odblaskowych [5, 5a].</w:t>
      </w:r>
    </w:p>
    <w:p w:rsidR="00AA68FB" w:rsidRPr="00376408" w:rsidRDefault="00AA68FB" w:rsidP="00AA68FB">
      <w:pPr>
        <w:pStyle w:val="Tekstpodstawowy2"/>
        <w:ind w:left="11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Aprobaty techniczne wystawione przed czasem wejścia w życie rozporządzenia [15]  nie mogą być zmieniane lecz zachowują ważność przez okres, na jaki zostały wydane. W tym </w:t>
      </w:r>
      <w:r w:rsidRPr="00376408">
        <w:rPr>
          <w:rFonts w:ascii="Arial" w:hAnsi="Arial" w:cs="Arial"/>
        </w:rPr>
        <w:lastRenderedPageBreak/>
        <w:t>przypadku do oznakowania wyrobu znakiem budowlanym B wystarcza deklaracja zgodności z aprobatą techniczną.</w:t>
      </w:r>
    </w:p>
    <w:p w:rsidR="00AA68FB" w:rsidRPr="00376408" w:rsidRDefault="00AA68FB" w:rsidP="00AA68FB">
      <w:pPr>
        <w:pStyle w:val="Tekstprzypisudolnego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Powyższe zasady należy stosować także do oznakowań tymczasowych wykonywanych materiałami o barwie żółtej.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Badanie materiałów, których jakość budzi wątpliwość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Wykonawca powinien przeprowadzić dodatkowe badania tych materiałów, które budzą wątpliwości jego lub Inżyniera, co do jakości, w celu stwierdzenia czy odpowiadają one wymaganiom określonym w aprobacie technicznej. Badania te Wykonawca zleci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 xml:space="preserve"> lub akredytowanemu laboratorium drogowemu. Badania powinny być wykonane zgodnie z PN-EN 1871:2003 [6] lub Warunkami Technicznymi POD-97 [9] lub POD-2006 po ich wydaniu [10].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2.4. Oznakowanie opakowań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powinien żądać od producenta, aby oznakowanie opakowań materiałów do poziomego znakowania dróg było wykonane zgodnie z PN-O-79252 [2], a ponadto aby na każdym opakowaniu był umieszczony trwały napis zawierający: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nazwę i adres producenta,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datę produkcji i termin przydatności do użycia,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masę netto,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numer partii i datę produkcji,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informację, że wyrób posiada aprobatę techniczną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 xml:space="preserve"> i jej numer,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nazwę jednostki certyfikującej i numer certyfikatu, jeśli dotyczy [8], 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znak budowlany „B” wg rozporządzenia Ministra Infrastruktury [8] i/lub znak „CE” wg rozporządzenia Ministra Infrastruktury [12],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informację o szkodliwości i klasie zagrożenia pożarowego,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ewentualne wskazówki dla użytkowników.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W przypadku farb rozpuszczalnikowych i wyrobów chemoutwardzalnych oznakowanie opakowania powinno być zgodne z rozporządzeniem Ministra Zdrowia [13].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2.5. Przepisy określające wymagania dla materiałów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Podstawowe wymagania dotyczące materiałów podano w punkcie 2.6, a szczegółowe wymagania określone są w Warunkach technicznych POD-97 [9] lub POD-2006 po ich wydaniu [10].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2.6. Wymagania wobec materiałów do poziomego oznakowania dróg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2.6.1. </w:t>
      </w:r>
      <w:r w:rsidRPr="00376408">
        <w:rPr>
          <w:rFonts w:ascii="Arial" w:hAnsi="Arial" w:cs="Arial"/>
        </w:rPr>
        <w:t xml:space="preserve"> Materiały do oznakowań cienkowarstwowych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Materiałami do wykonywania oznakowania cienkowarstwowego powinny być farby nakładane warstwą grubości od </w:t>
      </w:r>
      <w:smartTag w:uri="urn:schemas-microsoft-com:office:smarttags" w:element="metricconverter">
        <w:smartTagPr>
          <w:attr w:name="ProductID" w:val="0,4 mm"/>
        </w:smartTagPr>
        <w:r w:rsidRPr="00376408">
          <w:rPr>
            <w:rFonts w:ascii="Arial" w:hAnsi="Arial" w:cs="Arial"/>
          </w:rPr>
          <w:t>0,4 mm</w:t>
        </w:r>
      </w:smartTag>
      <w:r w:rsidRPr="00376408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0,8 mm"/>
        </w:smartTagPr>
        <w:r w:rsidRPr="00376408">
          <w:rPr>
            <w:rFonts w:ascii="Arial" w:hAnsi="Arial" w:cs="Arial"/>
          </w:rPr>
          <w:t>0,8 mm</w:t>
        </w:r>
      </w:smartTag>
      <w:r w:rsidRPr="00376408">
        <w:rPr>
          <w:rFonts w:ascii="Arial" w:hAnsi="Arial" w:cs="Arial"/>
        </w:rPr>
        <w:t xml:space="preserve"> (na mokro). Powinny to być ciekłe produkty zawierające ciała stałe zdyspergowane w roztworze żywicy syntetycznej w rozpuszczalniku organicznym lub w wodzie, które mogą występować w układach jedno- lub wieloskładnikowych.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 Podczas nakładania farb, do znakowania cienkowarstwowego, na nawierzchnię pędzlem, wałkiem lub przez natrysk, powinny one tworzyć warstwę kohezyjną w procesie odparowania i/lub w procesie chemicznym.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Właściwości fizyczne poszczególnych materiałów do poziomego oznakowania cienkowarstwowego określają aprobaty techniczne. 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2.6.2. </w:t>
      </w:r>
      <w:r w:rsidRPr="00376408">
        <w:rPr>
          <w:rFonts w:ascii="Arial" w:hAnsi="Arial" w:cs="Arial"/>
        </w:rPr>
        <w:t>Materiały do oznakowań grubowarstwowych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Materiałami do wykonywania oznakowania grubowarstwowego powinny być materiały umożliwiające nakładanie ich warstwą grubości od </w:t>
      </w:r>
      <w:smartTag w:uri="urn:schemas-microsoft-com:office:smarttags" w:element="metricconverter">
        <w:smartTagPr>
          <w:attr w:name="ProductID" w:val="0,9 mm"/>
        </w:smartTagPr>
        <w:r w:rsidRPr="00376408">
          <w:rPr>
            <w:rFonts w:ascii="Arial" w:hAnsi="Arial" w:cs="Arial"/>
          </w:rPr>
          <w:t>0,9 mm</w:t>
        </w:r>
      </w:smartTag>
      <w:r w:rsidRPr="00376408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>5 mm</w:t>
        </w:r>
      </w:smartTag>
      <w:r w:rsidRPr="00376408">
        <w:rPr>
          <w:rFonts w:ascii="Arial" w:hAnsi="Arial" w:cs="Arial"/>
        </w:rPr>
        <w:t xml:space="preserve"> takie, jak masy chemoutwardzalne stosowane na zimno oraz masy termoplastyczne.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Masy chemoutwardzalne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Masy termoplastyczne powinny być substancjami nie zawierającymi rozpuszczalników, dostarczanymi w postaci bloków, granulek lub proszku. Przy stosowaniu powinny dać się podgrzewać do stopienia i aplikować ręcznie lub maszynowo. Masy te powinny tworzyć spójną warstwę przez ochłodzenie.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Właściwości fizyczne materiałów do oznakowania grubowarstwowego i wykonanych z nich elementów prefabrykowanych określają aprobaty techniczne.</w:t>
      </w:r>
    </w:p>
    <w:p w:rsidR="00AA68FB" w:rsidRPr="00376408" w:rsidRDefault="00AA68FB" w:rsidP="00AA68FB">
      <w:pPr>
        <w:keepNext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2.6.3. </w:t>
      </w:r>
      <w:r w:rsidRPr="00376408">
        <w:rPr>
          <w:rFonts w:ascii="Arial" w:hAnsi="Arial" w:cs="Arial"/>
        </w:rPr>
        <w:t>Zawartość składników lotnych w materiałach do znakowania cienkowarstwowego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Zawartość składników lotnych (rozpuszczalników organicznych) nie powinna przekraczać 25% (m/m) w postaci gotowej do aplikacji, w materiałach do znakowania cienkowarstwowego. 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Nie dopuszcza się stosowania materiałów zawierających rozpuszczalnik aromatyczny (jak np. toluen, ksylen, etylobenzen) w ilości większej niż 8 % (m/m). Nie dopuszcza się stosowania materiałów zawierających benzen i rozpuszczalniki chlorowane.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Do końca 2007 r. dopuszcza się stosowanie farb rozpuszczalnikowych o zawartości składników lotnych do 30 % (m/m) i rozpuszczalników aromatycznych do 10 % (m/m). 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2.6.4. </w:t>
      </w:r>
      <w:r w:rsidRPr="00376408">
        <w:rPr>
          <w:rFonts w:ascii="Arial" w:hAnsi="Arial" w:cs="Arial"/>
        </w:rPr>
        <w:t>Kulki szklane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Kulki szklane powinny charakteryzować się współczynnikiem załamania powyżej 1,50, wykazywać odporność na wodę, kwas solny, chlorek wapniowy i siarczek sodowy oraz zawierać nie więcej niż 20% kulek z defektami w przypadku kulek o maksymalnej średnicy poniżej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>1 mm</w:t>
        </w:r>
      </w:smartTag>
      <w:r w:rsidRPr="00376408">
        <w:rPr>
          <w:rFonts w:ascii="Arial" w:hAnsi="Arial" w:cs="Arial"/>
        </w:rPr>
        <w:t xml:space="preserve"> oraz 30 % w przypadku kulek o maksymalnej średnicy równej i większej niż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 Krzywa uziarnienia powinna mieścić się w krzywych granicznych podanych w wymaganiach aprobaty technicznej wyrobu lub w certyfikacie CE.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Kulki szklane </w:t>
      </w:r>
      <w:proofErr w:type="spellStart"/>
      <w:r w:rsidRPr="00376408">
        <w:rPr>
          <w:rFonts w:ascii="Arial" w:hAnsi="Arial" w:cs="Arial"/>
        </w:rPr>
        <w:t>hydrofobizowane</w:t>
      </w:r>
      <w:proofErr w:type="spellEnd"/>
      <w:r w:rsidRPr="00376408">
        <w:rPr>
          <w:rFonts w:ascii="Arial" w:hAnsi="Arial" w:cs="Arial"/>
        </w:rPr>
        <w:t xml:space="preserve"> powinny ponadto wykazywać stopień </w:t>
      </w:r>
      <w:proofErr w:type="spellStart"/>
      <w:r w:rsidRPr="00376408">
        <w:rPr>
          <w:rFonts w:ascii="Arial" w:hAnsi="Arial" w:cs="Arial"/>
        </w:rPr>
        <w:t>hydrofobizacji</w:t>
      </w:r>
      <w:proofErr w:type="spellEnd"/>
      <w:r w:rsidRPr="00376408">
        <w:rPr>
          <w:rFonts w:ascii="Arial" w:hAnsi="Arial" w:cs="Arial"/>
        </w:rPr>
        <w:t xml:space="preserve"> co najmniej 80%. 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i metody badań kulek szklanych podano w PN-EN 1423:2000[3, 3a].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Właściwości kulek szklanych określają odpowiednie aprobaty techniczne, lub certyfikaty „CE”.</w:t>
      </w:r>
    </w:p>
    <w:p w:rsidR="00AA68FB" w:rsidRPr="00376408" w:rsidRDefault="00AA68FB" w:rsidP="00AA68FB">
      <w:pPr>
        <w:numPr>
          <w:ilvl w:val="12"/>
          <w:numId w:val="0"/>
        </w:num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2.6.5. </w:t>
      </w:r>
      <w:r w:rsidRPr="00376408">
        <w:rPr>
          <w:rFonts w:ascii="Arial" w:hAnsi="Arial" w:cs="Arial"/>
        </w:rPr>
        <w:t xml:space="preserve">Materiał </w:t>
      </w:r>
      <w:proofErr w:type="spellStart"/>
      <w:r w:rsidRPr="00376408">
        <w:rPr>
          <w:rFonts w:ascii="Arial" w:hAnsi="Arial" w:cs="Arial"/>
        </w:rPr>
        <w:t>uszorstniający</w:t>
      </w:r>
      <w:proofErr w:type="spellEnd"/>
      <w:r w:rsidRPr="00376408">
        <w:rPr>
          <w:rFonts w:ascii="Arial" w:hAnsi="Arial" w:cs="Arial"/>
        </w:rPr>
        <w:t xml:space="preserve"> oznakowanie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 </w:t>
      </w:r>
      <w:proofErr w:type="spellStart"/>
      <w:r w:rsidRPr="00376408">
        <w:rPr>
          <w:rFonts w:ascii="Arial" w:hAnsi="Arial" w:cs="Arial"/>
        </w:rPr>
        <w:t>uszorstniający</w:t>
      </w:r>
      <w:proofErr w:type="spellEnd"/>
      <w:r w:rsidRPr="00376408">
        <w:rPr>
          <w:rFonts w:ascii="Arial" w:hAnsi="Arial" w:cs="Arial"/>
        </w:rPr>
        <w:t xml:space="preserve"> oznakowanie powinien składać się z naturalnego lub sztucznego twardego kruszywa (np. krystobalitu), stosowanego w celu zapewnienia </w:t>
      </w:r>
      <w:r w:rsidRPr="00376408">
        <w:rPr>
          <w:rFonts w:ascii="Arial" w:hAnsi="Arial" w:cs="Arial"/>
        </w:rPr>
        <w:lastRenderedPageBreak/>
        <w:t xml:space="preserve">oznakowaniu odpowiedniej szorstkości (właściwości antypoślizgowych). Materiał </w:t>
      </w:r>
      <w:proofErr w:type="spellStart"/>
      <w:r w:rsidRPr="00376408">
        <w:rPr>
          <w:rFonts w:ascii="Arial" w:hAnsi="Arial" w:cs="Arial"/>
        </w:rPr>
        <w:t>uszorstniający</w:t>
      </w:r>
      <w:proofErr w:type="spellEnd"/>
      <w:r w:rsidRPr="00376408">
        <w:rPr>
          <w:rFonts w:ascii="Arial" w:hAnsi="Arial" w:cs="Arial"/>
        </w:rPr>
        <w:t xml:space="preserve"> nie może zawierać więcej niż 1% cząstek mniejszych niż 90 </w:t>
      </w:r>
      <w:r w:rsidRPr="00376408">
        <w:rPr>
          <w:rFonts w:ascii="Arial" w:hAnsi="Arial" w:cs="Arial"/>
        </w:rPr>
        <w:sym w:font="Symbol" w:char="F06D"/>
      </w:r>
      <w:r w:rsidRPr="00376408">
        <w:rPr>
          <w:rFonts w:ascii="Arial" w:hAnsi="Arial" w:cs="Arial"/>
        </w:rPr>
        <w:t xml:space="preserve">m. Potrzeba stosowania materiału </w:t>
      </w:r>
      <w:proofErr w:type="spellStart"/>
      <w:r w:rsidRPr="00376408">
        <w:rPr>
          <w:rFonts w:ascii="Arial" w:hAnsi="Arial" w:cs="Arial"/>
        </w:rPr>
        <w:t>uszorstniającego</w:t>
      </w:r>
      <w:proofErr w:type="spellEnd"/>
      <w:r w:rsidRPr="00376408">
        <w:rPr>
          <w:rFonts w:ascii="Arial" w:hAnsi="Arial" w:cs="Arial"/>
        </w:rPr>
        <w:t xml:space="preserve"> powinna być określona w SST. Konieczność jego użycia zachodzi w przypadku potrzeby uzyskania wskaźnika szorstkości oznakowania  SRT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50.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 </w:t>
      </w:r>
      <w:proofErr w:type="spellStart"/>
      <w:r w:rsidRPr="00376408">
        <w:rPr>
          <w:rFonts w:ascii="Arial" w:hAnsi="Arial" w:cs="Arial"/>
        </w:rPr>
        <w:t>uszorstniający</w:t>
      </w:r>
      <w:proofErr w:type="spellEnd"/>
      <w:r w:rsidRPr="00376408">
        <w:rPr>
          <w:rFonts w:ascii="Arial" w:hAnsi="Arial" w:cs="Arial"/>
        </w:rPr>
        <w:t xml:space="preserve"> (kruszywo przeciwpoślizgowe) oraz mieszanina kulek szklanych z materiałem </w:t>
      </w:r>
      <w:proofErr w:type="spellStart"/>
      <w:r w:rsidRPr="00376408">
        <w:rPr>
          <w:rFonts w:ascii="Arial" w:hAnsi="Arial" w:cs="Arial"/>
        </w:rPr>
        <w:t>uszorstniającym</w:t>
      </w:r>
      <w:proofErr w:type="spellEnd"/>
      <w:r w:rsidRPr="00376408">
        <w:rPr>
          <w:rFonts w:ascii="Arial" w:hAnsi="Arial" w:cs="Arial"/>
        </w:rPr>
        <w:t xml:space="preserve"> powinny odpowiadać wymaganiom określonym w aprobacie technicznej. 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2.6.6. </w:t>
      </w:r>
      <w:r w:rsidRPr="00376408">
        <w:rPr>
          <w:rFonts w:ascii="Arial" w:hAnsi="Arial" w:cs="Arial"/>
        </w:rPr>
        <w:t>Punktowe elementy odblaskowe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[5, 5a].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Odbłyśnik, będący częścią punktowego elementu odblaskowego może być: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szklany lub plastikowy w całości lub z dodatkową warstwą odbijającą znajdującą się na powierzchni nie wystawionej na zewnątrz i nie narażoną na przejeżdżanie pojazdów,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</w:t>
      </w:r>
      <w:smartTag w:uri="urn:schemas-microsoft-com:office:smarttags" w:element="metricconverter">
        <w:smartTagPr>
          <w:attr w:name="ProductID" w:val="25 mm"/>
        </w:smartTagPr>
        <w:r w:rsidRPr="00376408">
          <w:rPr>
            <w:rFonts w:ascii="Arial" w:hAnsi="Arial" w:cs="Arial"/>
          </w:rPr>
          <w:t xml:space="preserve">25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 Barwa, w przypadku oznakowania trwałego, powinna być biała lub czerwona, a dla oznakowania czasowego – żółta zgodnie z załącznikiem nr 2 do rozporządzenia Ministra Infrastruktury [7].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Spośród punktowych elementów odblaskowych (PEO) stosowanych do oznakowań poziomych wyróżniają się PEO ze szklanym korpusem pełnym (odbłyśnik wielokierunkowy) lub zawierającym świecące diody LED i ewentualnie ogniwo słoneczne z baterią, tzw. aktywne PEO. Nie mieszczą się one w klasyfikacji PN-EN 1463-1:2001 [5], choć spełniają tę samą funkcję co typowe punktowe elementy odblaskowe, tj. kierunkują pojazdy w nocy w czasie suchej i mokrej pogody.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PEO szklane z pełnym korpusem mogą być stosowane do oznakowania rond kompaktowych ze względu na ich geometrię 360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 xml:space="preserve">. 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Właściwości i wymagania dotyczące punktowych elementów odblaskowych określone są w normie zharmonizowanej [5a] i odpowiednich  aprobatach technicznych.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2.6.7. </w:t>
      </w:r>
      <w:r w:rsidRPr="00376408">
        <w:rPr>
          <w:rFonts w:ascii="Arial" w:hAnsi="Arial" w:cs="Arial"/>
        </w:rPr>
        <w:t>Wymagania wobec materiałów ze względu na ochronę warunków pracy i środowiska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stosowane do znakowania nawierzchni nie powinny zawierać substancji zagrażających zdrowiu ludzi i powodujących skażenie środowiska.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2.7. Przechowywanie i składowanie materiałów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do oznakowania cienko- i grubowarstwowego nawierzchni powinny zachować stałość swoich właściwości chemicznych i fizykochemicznych przez okres co najmniej 6 miesięcy składowania w warunkach określonych przez producenta.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do poziomego oznakowania dróg należy przechowywać w magazynach odpowiadających zaleceniom producenta, zwłaszcza zabezpieczających je od napromieniowania słonecznego, opadów i w temperaturze, dla:</w:t>
      </w:r>
    </w:p>
    <w:p w:rsidR="00AA68FB" w:rsidRPr="00376408" w:rsidRDefault="00AA68FB" w:rsidP="00AA68FB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farb wodorozcieńczalnych od 5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>C do 40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>C,</w:t>
      </w:r>
    </w:p>
    <w:p w:rsidR="00AA68FB" w:rsidRPr="00376408" w:rsidRDefault="00AA68FB" w:rsidP="00AA68FB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farb rozpuszczalnikowych od -5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>C do 25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>C,</w:t>
      </w:r>
    </w:p>
    <w:p w:rsidR="00AA68FB" w:rsidRPr="00376408" w:rsidRDefault="00AA68FB" w:rsidP="00AA68F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pozostałych materiałów - poniżej 40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>C.</w:t>
      </w:r>
    </w:p>
    <w:p w:rsidR="00AA68FB" w:rsidRPr="00376408" w:rsidRDefault="00AA68FB" w:rsidP="00AA68FB">
      <w:pPr>
        <w:pStyle w:val="Nagwek1"/>
        <w:ind w:left="110"/>
        <w:rPr>
          <w:rFonts w:ascii="Arial" w:hAnsi="Arial" w:cs="Arial"/>
        </w:rPr>
      </w:pPr>
      <w:bookmarkStart w:id="3" w:name="_Toc131919912"/>
      <w:r w:rsidRPr="00376408">
        <w:rPr>
          <w:rFonts w:ascii="Arial" w:hAnsi="Arial" w:cs="Arial"/>
        </w:rPr>
        <w:t>3. sprzęt</w:t>
      </w:r>
      <w:bookmarkEnd w:id="3"/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wykonania oznakowania poziomego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przystępujący do wykonania oznakowania poziomego, w zależności od zakresu robót, powinien wykazać się możliwością korzystania z następującego sprzętu, zaakceptowanego przez Inżyniera: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szczotek mechanicznych (zaleca się stosowanie szczotek wyposażonych w urządzenia odpylające) oraz szczotek ręcznych,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frezarek,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sprężarek,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proofErr w:type="spellStart"/>
      <w:r w:rsidRPr="00376408">
        <w:rPr>
          <w:rFonts w:ascii="Arial" w:hAnsi="Arial" w:cs="Arial"/>
        </w:rPr>
        <w:t>malowarek</w:t>
      </w:r>
      <w:proofErr w:type="spellEnd"/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układarek mas termoplastycznych i chemoutwardzalnych,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proofErr w:type="spellStart"/>
      <w:r w:rsidRPr="00376408">
        <w:rPr>
          <w:rFonts w:ascii="Arial" w:hAnsi="Arial" w:cs="Arial"/>
        </w:rPr>
        <w:t>wyklejarek</w:t>
      </w:r>
      <w:proofErr w:type="spellEnd"/>
      <w:r w:rsidRPr="00376408">
        <w:rPr>
          <w:rFonts w:ascii="Arial" w:hAnsi="Arial" w:cs="Arial"/>
        </w:rPr>
        <w:t xml:space="preserve"> do taśm,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sprzętu do badań, określonego w SST.</w:t>
      </w:r>
    </w:p>
    <w:p w:rsidR="00AA68FB" w:rsidRPr="00376408" w:rsidRDefault="00AA68FB" w:rsidP="00AA68FB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Wykonawca powinien zapewnić odpowiednią jakość, ilość i wydajność </w:t>
      </w:r>
      <w:proofErr w:type="spellStart"/>
      <w:r w:rsidRPr="00376408">
        <w:rPr>
          <w:rFonts w:ascii="Arial" w:hAnsi="Arial" w:cs="Arial"/>
        </w:rPr>
        <w:t>malowarek</w:t>
      </w:r>
      <w:proofErr w:type="spellEnd"/>
      <w:r w:rsidRPr="00376408">
        <w:rPr>
          <w:rFonts w:ascii="Arial" w:hAnsi="Arial" w:cs="Arial"/>
        </w:rPr>
        <w:t xml:space="preserve"> lub układarek proporcjonalną do wielkości i czasu wykonania całego zakresu robót.</w:t>
      </w:r>
    </w:p>
    <w:p w:rsidR="00AA68FB" w:rsidRPr="00376408" w:rsidRDefault="00AA68FB" w:rsidP="00AA68FB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4" w:name="_Toc131919913"/>
      <w:r w:rsidRPr="00376408">
        <w:rPr>
          <w:rFonts w:ascii="Arial" w:hAnsi="Arial" w:cs="Arial"/>
        </w:rPr>
        <w:t>4. transport</w:t>
      </w:r>
      <w:bookmarkEnd w:id="4"/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Przewóz materiałów do poziomego znakowania dróg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do poziomego znakowania dróg należy przewozić w opakowaniach zapewniających szczelność, bezpieczny transport i zachowanie wymaganych właściwości materiałów. Pojemniki powinny być oznakowane zgodnie z normą PN-O-79252 [2]. W przypadku  materiałów niebezpiecznych opakowania powinny być oznakowane zgodnie z rozporządzeniem Ministra Zdrowia [13].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Farby rozpuszczalnikowe, rozpuszczalniki palne oraz farby i masy chemoutwardzalne należy transportować zgodnie z postanowieniami umowy międzynarodowej [14]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Pozostałe materiały do znakowania poziomego należy przewozić krytymi środkami transportowymi, chroniąc opakowania przed uszkodzeniem mechanicznym, zgodnie z PN-C-81400 [1] oraz zgodnie z prawem przewozowym.</w:t>
      </w:r>
    </w:p>
    <w:p w:rsidR="00AA68FB" w:rsidRPr="00376408" w:rsidRDefault="00AA68FB" w:rsidP="00AA68FB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5" w:name="_Toc131919914"/>
      <w:r w:rsidRPr="00376408">
        <w:rPr>
          <w:rFonts w:ascii="Arial" w:hAnsi="Arial" w:cs="Arial"/>
        </w:rPr>
        <w:t>5. wykonanie robót</w:t>
      </w:r>
      <w:bookmarkEnd w:id="5"/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 Nowe i odnowione nawierzchnie dróg przed otwarciem do ruchu muszą być oznakowane zgodnie z dokumentacją projektową. 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Warunki atmosferyczne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czasie wykonywania oznakowania temperatura nawierzchni i powietrza powinna wynosić co najmniej 5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>C, a wilgotność względna powietrza powinna być zgodna z zaleceniami producenta lub wynosić co najwyżej 85%.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Jednorodność nawierzchni znakowanej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Poprawność wykonania znakowania wymaga jednorodności nawierzchni znakowanej. Nierówności i/lub miejsca napraw cząstkowych nawierzchni, które nie wyróżniają się od starej nawierzchni i nie mają większego rozmiaru niż 15% powierzchni znakowanej, uznaje się za powierzchnie jednorodne. Dla powierzchni niejednorodnych należy w SST ustalić: rozmiary powierzchni niejednorodnej zgodnie z Systemem Oceny Stanu Nawierzchni (SOSN), odkształcenia nawierzchni (otwarte złącza podłużne, koleiny, spękania, przełomy, garby), wymagania wobec materiału do oznakowania nawierzchni i wymagania wobec Wykonawcy.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Przygotowanie podłoża do wykonania znakowania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Powierzchnia nawierzchni przygotowana do wykonania oznakowania poziomego musi być czysta i sucha.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5.5. </w:t>
      </w:r>
      <w:proofErr w:type="spellStart"/>
      <w:r w:rsidRPr="00376408">
        <w:rPr>
          <w:rFonts w:ascii="Arial" w:hAnsi="Arial" w:cs="Arial"/>
        </w:rPr>
        <w:t>Przedznakowanie</w:t>
      </w:r>
      <w:proofErr w:type="spellEnd"/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 celu dokładnego wykonania poziomego oznakowania drogi, można wykonać </w:t>
      </w:r>
      <w:proofErr w:type="spellStart"/>
      <w:r w:rsidRPr="00376408">
        <w:rPr>
          <w:rFonts w:ascii="Arial" w:hAnsi="Arial" w:cs="Arial"/>
        </w:rPr>
        <w:t>przedznakowanie</w:t>
      </w:r>
      <w:proofErr w:type="spellEnd"/>
      <w:r w:rsidRPr="00376408">
        <w:rPr>
          <w:rFonts w:ascii="Arial" w:hAnsi="Arial" w:cs="Arial"/>
        </w:rPr>
        <w:t>, stosując się do ustaleń zawartych w dokumentacji projektowej, w załączniku nr 2 do rozporządzenia Ministra Infrastruktury [7], SST i wskazaniach Inżyniera.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wykonania </w:t>
      </w:r>
      <w:proofErr w:type="spellStart"/>
      <w:r w:rsidRPr="00376408">
        <w:rPr>
          <w:rFonts w:ascii="Arial" w:hAnsi="Arial" w:cs="Arial"/>
        </w:rPr>
        <w:t>przedznakowania</w:t>
      </w:r>
      <w:proofErr w:type="spellEnd"/>
      <w:r w:rsidRPr="00376408">
        <w:rPr>
          <w:rFonts w:ascii="Arial" w:hAnsi="Arial" w:cs="Arial"/>
        </w:rPr>
        <w:t xml:space="preserve"> można stosować nietrwałą farbę, np. farbę silnie rozcieńczoną rozpuszczalnikiem. Zaleca się wykonywanie </w:t>
      </w:r>
      <w:proofErr w:type="spellStart"/>
      <w:r w:rsidRPr="00376408">
        <w:rPr>
          <w:rFonts w:ascii="Arial" w:hAnsi="Arial" w:cs="Arial"/>
        </w:rPr>
        <w:t>przedznakowania</w:t>
      </w:r>
      <w:proofErr w:type="spellEnd"/>
      <w:r w:rsidRPr="00376408">
        <w:rPr>
          <w:rFonts w:ascii="Arial" w:hAnsi="Arial" w:cs="Arial"/>
        </w:rPr>
        <w:t xml:space="preserve"> w postaci cienkich linii lub kropek. Początek i koniec znakowania należy zaznaczyć małą kreską poprzeczną.</w:t>
      </w:r>
    </w:p>
    <w:p w:rsidR="00AA68FB" w:rsidRDefault="00AA68FB" w:rsidP="00AA68FB">
      <w:pPr>
        <w:numPr>
          <w:ilvl w:val="12"/>
          <w:numId w:val="0"/>
        </w:numPr>
        <w:ind w:left="110"/>
      </w:pPr>
      <w:r w:rsidRPr="00376408">
        <w:tab/>
        <w:t xml:space="preserve">W przypadku odnawiania oznakowania drogi, gdy stare oznakowanie jest wystarczająco czytelne i zgodne z dokumentacją projektową, można </w:t>
      </w:r>
      <w:proofErr w:type="spellStart"/>
      <w:r w:rsidRPr="00376408">
        <w:t>przedznakowania</w:t>
      </w:r>
      <w:proofErr w:type="spellEnd"/>
      <w:r w:rsidRPr="00376408">
        <w:t xml:space="preserve"> nie wykonywać.</w:t>
      </w:r>
    </w:p>
    <w:p w:rsidR="00AA68FB" w:rsidRPr="0029262A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t>5.6. Wykonanie oznakowania drogi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spacing w:before="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5.6.1.</w:t>
      </w:r>
      <w:r w:rsidRPr="00376408">
        <w:rPr>
          <w:rFonts w:ascii="Arial" w:hAnsi="Arial" w:cs="Arial"/>
          <w:b w:val="0"/>
          <w:bCs w:val="0"/>
        </w:rPr>
        <w:t xml:space="preserve"> </w:t>
      </w:r>
      <w:r w:rsidRPr="00376408">
        <w:rPr>
          <w:rFonts w:ascii="Arial" w:hAnsi="Arial" w:cs="Arial"/>
        </w:rPr>
        <w:t xml:space="preserve"> </w:t>
      </w:r>
      <w:r w:rsidRPr="00376408">
        <w:rPr>
          <w:rFonts w:ascii="Arial" w:hAnsi="Arial" w:cs="Arial"/>
          <w:b w:val="0"/>
          <w:bCs w:val="0"/>
        </w:rPr>
        <w:t>Dostarczenie materiałów i spełnienie zaleceń producenta materiałów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do znakowania drogi, spełniające wymagania podane w punkcie 2, powinny być dostarczone w oryginalnych opakowaniach handlowych i stosowane zgodnie z zaleceniami SST, producenta oraz wymaganiami znajdującymi się w aprobacie technicznej.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5.6.2. </w:t>
      </w:r>
      <w:r w:rsidRPr="00376408">
        <w:rPr>
          <w:rFonts w:ascii="Arial" w:hAnsi="Arial" w:cs="Arial"/>
        </w:rPr>
        <w:t>Wykonanie oznakowania drogi materiałami cienkowarstwowymi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Wykonanie znakowania powinno być zgodne z zaleceniami producenta materiałów, a w przypadku ich braku lub niepełnych danych - zgodne z poniższymi wskazaniami.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Farbę do znakowania cienkowarstwowego po otwarciu opakowania należy wymieszać w czasie od 2 do 4 minut do uzyskania pełnej jednorodności. Przed lub w czasie napełniania zbiornika </w:t>
      </w:r>
      <w:proofErr w:type="spellStart"/>
      <w:r w:rsidRPr="00376408">
        <w:rPr>
          <w:rFonts w:ascii="Arial" w:hAnsi="Arial" w:cs="Arial"/>
        </w:rPr>
        <w:t>malowarki</w:t>
      </w:r>
      <w:proofErr w:type="spellEnd"/>
      <w:r w:rsidRPr="00376408">
        <w:rPr>
          <w:rFonts w:ascii="Arial" w:hAnsi="Arial" w:cs="Arial"/>
        </w:rPr>
        <w:t xml:space="preserve"> zaleca się przecedzić farbę przez sito </w:t>
      </w:r>
      <w:smartTag w:uri="urn:schemas-microsoft-com:office:smarttags" w:element="metricconverter">
        <w:smartTagPr>
          <w:attr w:name="ProductID" w:val="0,6 mm"/>
        </w:smartTagPr>
        <w:r w:rsidRPr="00376408">
          <w:rPr>
            <w:rFonts w:ascii="Arial" w:hAnsi="Arial" w:cs="Arial"/>
          </w:rPr>
          <w:t xml:space="preserve">0,6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 Nie wolno stosować do malowania mechanicznego farby, w której osad na dnie opakowania nie daje się całkowicie wymieszać lub na jej powierzchni znajduje się kożuch.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Farbę należy nakładać równomierną warstwą o grubości ustalonej w SST, zachowując wymiary i ostrość krawędzi. Grubość nanoszonej warstwy zaleca się kontrolować przy pomocy grzebienia pomiarowego na płytce szklanej lub metalowej podkładanej na drodze </w:t>
      </w:r>
      <w:proofErr w:type="spellStart"/>
      <w:r w:rsidRPr="00376408">
        <w:rPr>
          <w:rFonts w:ascii="Arial" w:hAnsi="Arial" w:cs="Arial"/>
        </w:rPr>
        <w:t>malowarki</w:t>
      </w:r>
      <w:proofErr w:type="spellEnd"/>
      <w:r w:rsidRPr="00376408">
        <w:rPr>
          <w:rFonts w:ascii="Arial" w:hAnsi="Arial" w:cs="Arial"/>
        </w:rPr>
        <w:t>. Ilość farby zużyta w czasie prac, określona przez średnie zużycie na metr kwadratowy nie może się różnić od ilości ustalonej, więcej niż o 20%.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Wszystkie większe prace powinny być wykonane przy użyciu samojezdnych </w:t>
      </w:r>
      <w:proofErr w:type="spellStart"/>
      <w:r w:rsidRPr="00376408">
        <w:rPr>
          <w:rFonts w:ascii="Arial" w:hAnsi="Arial" w:cs="Arial"/>
        </w:rPr>
        <w:t>malowarek</w:t>
      </w:r>
      <w:proofErr w:type="spellEnd"/>
      <w:r w:rsidRPr="00376408">
        <w:rPr>
          <w:rFonts w:ascii="Arial" w:hAnsi="Arial" w:cs="Arial"/>
        </w:rPr>
        <w:t xml:space="preserve"> z automatycznym podziałem linii i posypywaniem kulkami szklanymi z ew. materiałem </w:t>
      </w:r>
      <w:proofErr w:type="spellStart"/>
      <w:r w:rsidRPr="00376408">
        <w:rPr>
          <w:rFonts w:ascii="Arial" w:hAnsi="Arial" w:cs="Arial"/>
        </w:rPr>
        <w:t>uszorstniającym</w:t>
      </w:r>
      <w:proofErr w:type="spellEnd"/>
      <w:r w:rsidRPr="00376408">
        <w:rPr>
          <w:rFonts w:ascii="Arial" w:hAnsi="Arial" w:cs="Arial"/>
        </w:rPr>
        <w:t>. W przypadku mniejszych prac, wielkość, wydajność i jakość sprzętu należy dostosować do zakresu i rozmiaru prac. Decyzję dotyczącą rodzaju sprzętu i sposobu wykonania znakowania podejmuje Inżynier na wniosek Wykonawcy.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5.6.3. </w:t>
      </w:r>
      <w:r w:rsidRPr="00376408">
        <w:rPr>
          <w:rFonts w:ascii="Arial" w:hAnsi="Arial" w:cs="Arial"/>
        </w:rPr>
        <w:t>Wykonanie oznakowania drogi materiałami grubowarstwowymi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Wykonanie oznakowania powinno być zgodne z zaleceniami producenta materiałów, a w przypadku ich braku lub niepełnych danych - zgodne z poniższymi wskazaniami.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 znakujący należy nakładać równomierną warstwą o grubości (lub w ilości) ustalonej w SST, zachowując wymiary i ostrość krawędzi. Grubość nanoszonej warstwy zaleca się kontrolować przy pomocy grzebienia pomiarowego na płytce metalowej, podkładanej na drodze </w:t>
      </w:r>
      <w:proofErr w:type="spellStart"/>
      <w:r w:rsidRPr="00376408">
        <w:rPr>
          <w:rFonts w:ascii="Arial" w:hAnsi="Arial" w:cs="Arial"/>
        </w:rPr>
        <w:t>malowarki</w:t>
      </w:r>
      <w:proofErr w:type="spellEnd"/>
      <w:r w:rsidRPr="00376408">
        <w:rPr>
          <w:rFonts w:ascii="Arial" w:hAnsi="Arial" w:cs="Arial"/>
        </w:rPr>
        <w:t>. Ilość materiału zużyta w czasie prac, określona przez średnie zużycie na metr kwadratowy, nie może się różnić od ilości ustalonej, więcej niż o 20%.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  <w:strike/>
        </w:rPr>
      </w:pPr>
      <w:r w:rsidRPr="00376408">
        <w:rPr>
          <w:rFonts w:ascii="Arial" w:hAnsi="Arial" w:cs="Arial"/>
        </w:rPr>
        <w:tab/>
        <w:t xml:space="preserve">W przypadku mas chemoutwardzalnych i termoplastycznych wszystkie większe prace (linie krawędziowe, segregacyjne na długich odcinkach dróg) powinny być wykonywane przy użyciu urządzeń samojezdnych z automatycznym podziałem linii i posypywaniem kulkami szklanymi z ew. materiałem </w:t>
      </w:r>
      <w:proofErr w:type="spellStart"/>
      <w:r w:rsidRPr="00376408">
        <w:rPr>
          <w:rFonts w:ascii="Arial" w:hAnsi="Arial" w:cs="Arial"/>
        </w:rPr>
        <w:t>uszorstniającym</w:t>
      </w:r>
      <w:proofErr w:type="spellEnd"/>
      <w:r w:rsidRPr="00376408">
        <w:rPr>
          <w:rFonts w:ascii="Arial" w:hAnsi="Arial" w:cs="Arial"/>
        </w:rPr>
        <w:t xml:space="preserve">. W przypadku mniejszych prac, wielkość, wydajność i jakość sprzętu należy dostosować do ich zakresu i rozmiaru. Decyzję dotyczącą rodzaju sprzętu i sposobu wykonania znakowania podejmuje Inżynier na wniosek Wykonawcy. W przypadku znakowania nawierzchni betonowej należy przed aplikacją usunąć warstwę powierzchniową betonu metodą frezowania, śrutowania lub </w:t>
      </w:r>
      <w:proofErr w:type="spellStart"/>
      <w:r w:rsidRPr="00376408">
        <w:rPr>
          <w:rFonts w:ascii="Arial" w:hAnsi="Arial" w:cs="Arial"/>
        </w:rPr>
        <w:t>waterblasting</w:t>
      </w:r>
      <w:proofErr w:type="spellEnd"/>
      <w:r w:rsidRPr="00376408">
        <w:rPr>
          <w:rFonts w:ascii="Arial" w:hAnsi="Arial" w:cs="Arial"/>
        </w:rPr>
        <w:t xml:space="preserve">, aby zlikwidować pozostałości mleczka cementowego i </w:t>
      </w:r>
      <w:proofErr w:type="spellStart"/>
      <w:r w:rsidRPr="00376408">
        <w:rPr>
          <w:rFonts w:ascii="Arial" w:hAnsi="Arial" w:cs="Arial"/>
        </w:rPr>
        <w:t>uszorstnić</w:t>
      </w:r>
      <w:proofErr w:type="spellEnd"/>
      <w:r w:rsidRPr="00376408">
        <w:rPr>
          <w:rFonts w:ascii="Arial" w:hAnsi="Arial" w:cs="Arial"/>
        </w:rPr>
        <w:t xml:space="preserve"> powierzchnię. Po usunięciu warstwy powierzchniowej betonu, należy powierzchnię znakowaną umyć wodą pod ciśnieniem oraz zagruntować środkiem wskazanym przez producenta masy (podkład, grunt, </w:t>
      </w:r>
      <w:proofErr w:type="spellStart"/>
      <w:r w:rsidRPr="00376408">
        <w:rPr>
          <w:rFonts w:ascii="Arial" w:hAnsi="Arial" w:cs="Arial"/>
        </w:rPr>
        <w:t>primer</w:t>
      </w:r>
      <w:proofErr w:type="spellEnd"/>
      <w:r w:rsidRPr="00376408">
        <w:rPr>
          <w:rFonts w:ascii="Arial" w:hAnsi="Arial" w:cs="Arial"/>
        </w:rPr>
        <w:t>) w ilości przez niego podanej.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5.6.4. </w:t>
      </w:r>
      <w:r w:rsidRPr="00376408">
        <w:rPr>
          <w:rFonts w:ascii="Arial" w:hAnsi="Arial" w:cs="Arial"/>
        </w:rPr>
        <w:t>Wykonanie oznakowania drogi punktowymi elementami odblaskowymi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Wykonanie oznakowania powinno być zgodne z zaleceniami producenta materiałów, a w przypadku ich braku lub niepełnych danych - zgodne z poniższymi wskazaniami.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Przy wykonywaniu oznakowania punktowymi elementami odblaskowymi należy zwracać szczególną uwagę na staranne mocowanie elementów do podłoża, od czego zależy trwałość wykonanego oznakowania.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Nie wolno zmieniać ustalonego przez producenta rodzaju kleju z uwagi na możliwość uzyskania różnej jego przyczepności do nawierzchni i do materiałów, z których wykonano punktowe elementy odblaskowe.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znakowania nawierzchni betonowych należy zastosować podkład (</w:t>
      </w:r>
      <w:proofErr w:type="spellStart"/>
      <w:r w:rsidRPr="00376408">
        <w:rPr>
          <w:rFonts w:ascii="Arial" w:hAnsi="Arial" w:cs="Arial"/>
        </w:rPr>
        <w:t>primer</w:t>
      </w:r>
      <w:proofErr w:type="spellEnd"/>
      <w:r w:rsidRPr="00376408">
        <w:rPr>
          <w:rFonts w:ascii="Arial" w:hAnsi="Arial" w:cs="Arial"/>
        </w:rPr>
        <w:t>) poprawiający przyczepność przyklejanych punktowych elementów odblaskowych do nawierzchni.</w:t>
      </w:r>
    </w:p>
    <w:p w:rsidR="00AA68FB" w:rsidRPr="00376408" w:rsidRDefault="00AA68FB" w:rsidP="00AA68FB">
      <w:pPr>
        <w:numPr>
          <w:ilvl w:val="12"/>
          <w:numId w:val="0"/>
        </w:num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5.6.5.</w:t>
      </w:r>
      <w:r w:rsidRPr="00376408">
        <w:rPr>
          <w:rFonts w:ascii="Arial" w:hAnsi="Arial" w:cs="Arial"/>
        </w:rPr>
        <w:t xml:space="preserve"> Wykonanie oznakowania tymczasowego</w:t>
      </w:r>
    </w:p>
    <w:p w:rsidR="00AA68FB" w:rsidRPr="00376408" w:rsidRDefault="00AA68FB" w:rsidP="00AA68FB">
      <w:pPr>
        <w:pStyle w:val="Tekstpodstawowywcity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Do wykonywania oznakowania tymczasowego barwy żółtej należy stosować materiały łatwe do usunięcia po zakończeniu okresu tymczasowości. Linie wyznaczające pasy ruchu zaleca się uzupełnić punktowymi elementami odblaskowymi z odbłyśnikami także barwy żółtej. 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Czasowe oznakowanie poziome powinno być wykonane z materiałów odblaskowych. Do jego wykonania należy stosować: farby, taśmy samoprzylepne lub punktowe elementy odblaskowe. 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Materiały stosowane do wykonywania oznakowania tymczasowego powinny także posiadać aprobaty techniczne, a producent powinien wystawiać deklarację zgodności.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5.7. Usuwanie oznakowania poziomego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konieczności usunięcia istniejącego oznakowania poziomego, czynność tę należy wykonać jak najmniej uszkadzając nawierzchnię.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wykonywać usuwanie oznakowania: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cienkowarstwowego, metodą: frezowania mechanicznego lub wodą pod wysokim ciśnieniem (</w:t>
      </w:r>
      <w:proofErr w:type="spellStart"/>
      <w:r w:rsidRPr="00376408">
        <w:rPr>
          <w:rFonts w:ascii="Arial" w:hAnsi="Arial" w:cs="Arial"/>
        </w:rPr>
        <w:t>waterblasting</w:t>
      </w:r>
      <w:proofErr w:type="spellEnd"/>
      <w:r w:rsidRPr="00376408">
        <w:rPr>
          <w:rFonts w:ascii="Arial" w:hAnsi="Arial" w:cs="Arial"/>
        </w:rPr>
        <w:t>), piaskowania, śrutowania, trawienia, wypalania lub zamalowania,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grubowarstwowego, metodą piaskowania, kulkowania, frezowania,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punktowego, prostymi narzędziami mechanicznymi.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Środki zastosowane do usunięcia oznakowania nie mogą wpływać ujemnie na przyczepność nowego oznakowania do podłoża, na jego szorstkość, trwałość oraz na właściwości podłoża.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Usuwanie oznakowania na czas robót drogowych może być wykonane przez zamalowanie nietrwałą farbą barwy czarnej.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pozostałe po usunięciu oznakowania należy usunąć z drogi tak, aby nie zanieczyszczały środowiska, w miejsce zaakceptowane przez Inżyniera.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5.8. Odnowa oznakowania poziomego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Odnawianie oznakowania poziomego, wykonywanego w przypadku utraty wymagań jednej z właściwości, należy wykonać materiałem o sprawdzonej dobrej przyczepności do starej warstwy.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Jako zasadę można przyjąć, że oznakowanie wykonane farbami akrylowymi, należy odnawiać także farbami akrylowymi, oznakowania grubowarstwowe wykonane masami termoplastycznymi – natryskiwanym cienką warstwą masy </w:t>
      </w:r>
      <w:r w:rsidRPr="00376408">
        <w:rPr>
          <w:rFonts w:ascii="Arial" w:hAnsi="Arial" w:cs="Arial"/>
        </w:rPr>
        <w:lastRenderedPageBreak/>
        <w:t>termoplastycznej lub farbą wodorozcieńczalną zalecaną przez producenta masy, oznakowania wykonane masami chemoutwardzalnymi – farbami chemoutwardzalnymi, natryskiwanymi masami chemoutwardzalnymi (</w:t>
      </w:r>
      <w:proofErr w:type="spellStart"/>
      <w:r w:rsidRPr="00376408">
        <w:rPr>
          <w:rFonts w:ascii="Arial" w:hAnsi="Arial" w:cs="Arial"/>
        </w:rPr>
        <w:t>sprayplast</w:t>
      </w:r>
      <w:proofErr w:type="spellEnd"/>
      <w:r w:rsidRPr="00376408">
        <w:rPr>
          <w:rFonts w:ascii="Arial" w:hAnsi="Arial" w:cs="Arial"/>
        </w:rPr>
        <w:t>) lub odpowiednimi akrylowymi farbami rozpuszczalnikowymi.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Ilość stosowanego do odnowienia materiału, należy dobrać w zależności od rodzaju i stanu oznakowania odnawianego, kierując się wskazówkami producenta materiału i zaleceniami Inżyniera.</w:t>
      </w:r>
    </w:p>
    <w:p w:rsidR="00AA68FB" w:rsidRPr="00376408" w:rsidRDefault="00AA68FB" w:rsidP="00AA68FB">
      <w:pPr>
        <w:pStyle w:val="Nagwek1"/>
        <w:numPr>
          <w:ilvl w:val="12"/>
          <w:numId w:val="0"/>
        </w:numPr>
        <w:spacing w:before="240"/>
        <w:ind w:left="110"/>
        <w:rPr>
          <w:rFonts w:ascii="Arial" w:hAnsi="Arial" w:cs="Arial"/>
        </w:rPr>
      </w:pPr>
      <w:bookmarkStart w:id="6" w:name="_Toc131919915"/>
      <w:r w:rsidRPr="00376408">
        <w:rPr>
          <w:rFonts w:ascii="Arial" w:hAnsi="Arial" w:cs="Arial"/>
        </w:rPr>
        <w:t>6. kontrola jakości robót</w:t>
      </w:r>
      <w:bookmarkEnd w:id="6"/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6.2. Badanie przygotowania podłoża i </w:t>
      </w:r>
      <w:proofErr w:type="spellStart"/>
      <w:r w:rsidRPr="00376408">
        <w:rPr>
          <w:rFonts w:ascii="Arial" w:hAnsi="Arial" w:cs="Arial"/>
        </w:rPr>
        <w:t>przedznakowania</w:t>
      </w:r>
      <w:proofErr w:type="spellEnd"/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Powierzchnia jezdni przed wykonaniem znakowania poziomego musi być całkowicie czysta i sucha.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</w:r>
      <w:proofErr w:type="spellStart"/>
      <w:r w:rsidRPr="00376408">
        <w:rPr>
          <w:rFonts w:ascii="Arial" w:hAnsi="Arial" w:cs="Arial"/>
        </w:rPr>
        <w:t>Przedznakowanie</w:t>
      </w:r>
      <w:proofErr w:type="spellEnd"/>
      <w:r w:rsidRPr="00376408">
        <w:rPr>
          <w:rFonts w:ascii="Arial" w:hAnsi="Arial" w:cs="Arial"/>
        </w:rPr>
        <w:t xml:space="preserve"> powinno być wykonane zgodnie z wymaganiami punktu 5.5.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Badania wykonania oznakowania poziomego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6.3.1. </w:t>
      </w:r>
      <w:r w:rsidRPr="00376408">
        <w:rPr>
          <w:rFonts w:ascii="Arial" w:hAnsi="Arial" w:cs="Arial"/>
        </w:rPr>
        <w:t>Wymagania wobec oznakowania poziomego</w:t>
      </w:r>
    </w:p>
    <w:p w:rsidR="00AA68FB" w:rsidRPr="00376408" w:rsidRDefault="00AA68FB" w:rsidP="00AA68FB">
      <w:pPr>
        <w:pStyle w:val="Stopka"/>
        <w:numPr>
          <w:ilvl w:val="12"/>
          <w:numId w:val="0"/>
        </w:numPr>
        <w:tabs>
          <w:tab w:val="left" w:pos="709"/>
        </w:tabs>
        <w:spacing w:before="60" w:after="6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</w:rPr>
        <w:t>6.3.1.1. Zasady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  <w:spacing w:val="-3"/>
        </w:rPr>
      </w:pPr>
      <w:r w:rsidRPr="00376408">
        <w:rPr>
          <w:rFonts w:ascii="Arial" w:hAnsi="Arial" w:cs="Arial"/>
          <w:spacing w:val="-3"/>
        </w:rPr>
        <w:t xml:space="preserve">Wymagania sprecyzowano przede wszystkim w celu określenia właściwości oznakowania dróg w czasie ich użytkowania. Wymagania określa się kilkoma parametrami reprezentującymi różne aspekty właściwości oznakowania dróg według PN-EN 1436:2000 [4] i PN-EN 1436:2000/A1:2005 [4a]. 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  <w:spacing w:val="-3"/>
        </w:rPr>
      </w:pPr>
      <w:r w:rsidRPr="00376408">
        <w:rPr>
          <w:rFonts w:ascii="Arial" w:hAnsi="Arial" w:cs="Arial"/>
          <w:spacing w:val="-3"/>
        </w:rPr>
        <w:t xml:space="preserve"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 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  <w:spacing w:val="-3"/>
        </w:rPr>
      </w:pPr>
      <w:r w:rsidRPr="00376408">
        <w:rPr>
          <w:rFonts w:ascii="Arial" w:hAnsi="Arial" w:cs="Arial"/>
          <w:spacing w:val="-3"/>
        </w:rPr>
        <w:t>Barwa żółta dotyczy tylko oznakowań tymczasowych, które także powinny być kontrolowane. Inne barwy oznakowań niż biała i żółta należy stosować zgodnie z zaleceniami zawartymi w załączniku nr 2 do rozporządzenia [7].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6.3.1.2. Widzialność w dzień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Widzialność oznakowania w dzień jest określona współczynnikiem luminancji </w:t>
      </w:r>
      <w:r w:rsidRPr="00376408">
        <w:rPr>
          <w:rFonts w:ascii="Arial" w:hAnsi="Arial" w:cs="Arial"/>
        </w:rPr>
        <w:sym w:font="Symbol" w:char="F062"/>
      </w:r>
      <w:r w:rsidRPr="00376408">
        <w:rPr>
          <w:rFonts w:ascii="Arial" w:hAnsi="Arial" w:cs="Arial"/>
        </w:rPr>
        <w:t xml:space="preserve"> i barwą oznakowania wyrażoną współrzędnymi chromatyczności.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Wartość współczynnika </w:t>
      </w:r>
      <w:r w:rsidRPr="00376408">
        <w:rPr>
          <w:rFonts w:ascii="Arial" w:hAnsi="Arial" w:cs="Arial"/>
        </w:rPr>
        <w:sym w:font="Symbol" w:char="F062"/>
      </w:r>
      <w:r w:rsidRPr="00376408">
        <w:rPr>
          <w:rFonts w:ascii="Arial" w:hAnsi="Arial" w:cs="Arial"/>
        </w:rPr>
        <w:t xml:space="preserve"> powinna wynosić dla oznakowania nowego </w:t>
      </w:r>
      <w:r w:rsidRPr="00376408">
        <w:rPr>
          <w:rFonts w:ascii="Arial" w:hAnsi="Arial" w:cs="Arial"/>
          <w:spacing w:val="-3"/>
        </w:rPr>
        <w:t>w terminie od 14 do 30 dnia po wykonaniu</w:t>
      </w:r>
      <w:r w:rsidRPr="00376408">
        <w:rPr>
          <w:rFonts w:ascii="Arial" w:hAnsi="Arial" w:cs="Arial"/>
        </w:rPr>
        <w:t>,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na nawierzchni asfaltowej , co najmniej 0,40, klasa B3,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na nawierzchni betonowej, co najmniej 0,50, klasa B4,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żółtej, co najmniej 0,30, klasa B2.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Wartość współczynnika </w:t>
      </w:r>
      <w:r w:rsidRPr="00376408">
        <w:rPr>
          <w:rFonts w:ascii="Arial" w:hAnsi="Arial" w:cs="Arial"/>
        </w:rPr>
        <w:sym w:font="Symbol" w:char="F062"/>
      </w:r>
      <w:r w:rsidRPr="00376408">
        <w:rPr>
          <w:rFonts w:ascii="Arial" w:hAnsi="Arial" w:cs="Arial"/>
        </w:rPr>
        <w:t xml:space="preserve"> powinna wynosić po 30 dniu od wykonania dla całego okresu użytkowania oznakowania,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na nawierzchni asfaltowej , co najmniej 0,30, klasa B2,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na nawierzchni betonowej, co najmniej 0,40, klasa B3,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żółtej, co najmniej 0,20 klasa B1. 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Barwa oznakowania powinna być określona wg PN-EN 1436:2000 [4] przez współrzędne chromatyczności x i y, które dla suchego oznakowania powinny leżeć </w:t>
      </w:r>
      <w:r w:rsidRPr="00376408">
        <w:rPr>
          <w:rFonts w:ascii="Arial" w:hAnsi="Arial" w:cs="Arial"/>
        </w:rPr>
        <w:lastRenderedPageBreak/>
        <w:t>w obszarze zdefiniowanym przez cztery punkty narożne podane w tablicy 1 i na wykresach (rys. 1, 2 i 3).</w:t>
      </w:r>
    </w:p>
    <w:p w:rsidR="00AA68FB" w:rsidRPr="00376408" w:rsidRDefault="00AA68FB" w:rsidP="00AA68FB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1. Punkty narożne obszarów chromatyczności oznakowań dróg</w:t>
      </w:r>
    </w:p>
    <w:tbl>
      <w:tblPr>
        <w:tblW w:w="7468" w:type="dxa"/>
        <w:tblCellMar>
          <w:left w:w="157" w:type="dxa"/>
          <w:right w:w="157" w:type="dxa"/>
        </w:tblCellMar>
        <w:tblLook w:val="00A0"/>
      </w:tblPr>
      <w:tblGrid>
        <w:gridCol w:w="2601"/>
        <w:gridCol w:w="542"/>
        <w:gridCol w:w="1110"/>
        <w:gridCol w:w="1111"/>
        <w:gridCol w:w="1110"/>
        <w:gridCol w:w="1111"/>
      </w:tblGrid>
      <w:tr w:rsidR="00AA68FB" w:rsidRPr="00DC095D" w:rsidTr="00B8596D">
        <w:trPr>
          <w:trHeight w:val="398"/>
        </w:trPr>
        <w:tc>
          <w:tcPr>
            <w:tcW w:w="302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both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Punkt narożny nr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4</w:t>
            </w:r>
          </w:p>
        </w:tc>
      </w:tr>
      <w:tr w:rsidR="00AA68FB" w:rsidRPr="00DC095D" w:rsidTr="00B8596D">
        <w:tc>
          <w:tcPr>
            <w:tcW w:w="260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376408" w:rsidRDefault="00AA68FB" w:rsidP="00B8596D">
            <w:pPr>
              <w:pStyle w:val="Stopka"/>
              <w:tabs>
                <w:tab w:val="left" w:pos="-720"/>
              </w:tabs>
              <w:suppressAutoHyphens/>
              <w:spacing w:before="20" w:after="20"/>
              <w:ind w:left="110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376408">
              <w:rPr>
                <w:rFonts w:ascii="Arial" w:hAnsi="Arial" w:cs="Arial"/>
                <w:spacing w:val="-3"/>
              </w:rPr>
              <w:t>Oznakowanie białe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x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0,355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0,305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0,285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0,335</w:t>
            </w:r>
          </w:p>
        </w:tc>
      </w:tr>
      <w:tr w:rsidR="00AA68FB" w:rsidRPr="00DC095D" w:rsidTr="00B8596D">
        <w:tc>
          <w:tcPr>
            <w:tcW w:w="2601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0,305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0,375</w:t>
            </w:r>
          </w:p>
        </w:tc>
      </w:tr>
      <w:tr w:rsidR="00AA68FB" w:rsidRPr="00DC095D" w:rsidTr="00B8596D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Oznakowanie żółte klasa Y1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0,443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0,389</w:t>
            </w:r>
          </w:p>
        </w:tc>
      </w:tr>
      <w:tr w:rsidR="00AA68FB" w:rsidRPr="00DC095D" w:rsidTr="00B8596D">
        <w:tc>
          <w:tcPr>
            <w:tcW w:w="2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0,399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0,455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0,535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0,431</w:t>
            </w:r>
          </w:p>
        </w:tc>
      </w:tr>
      <w:tr w:rsidR="00AA68FB" w:rsidRPr="00DC095D" w:rsidTr="00B8596D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Oznakowanie żółte klasa Y2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0,494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0,427</w:t>
            </w:r>
          </w:p>
        </w:tc>
      </w:tr>
      <w:tr w:rsidR="00AA68FB" w:rsidRPr="00DC095D" w:rsidTr="00B8596D">
        <w:tc>
          <w:tcPr>
            <w:tcW w:w="2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y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0,427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0,455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0,535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lang w:val="en-US"/>
              </w:rPr>
              <w:t>0,483</w:t>
            </w:r>
          </w:p>
        </w:tc>
      </w:tr>
      <w:tr w:rsidR="00AA68FB" w:rsidRPr="00DC095D" w:rsidTr="00B8596D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Oznakowanie czerwone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0,690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0,530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0,495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0,655</w:t>
            </w:r>
          </w:p>
        </w:tc>
      </w:tr>
      <w:tr w:rsidR="00AA68FB" w:rsidRPr="00DC095D" w:rsidTr="00B8596D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0,345</w:t>
            </w:r>
          </w:p>
        </w:tc>
      </w:tr>
      <w:tr w:rsidR="00AA68FB" w:rsidRPr="00DC095D" w:rsidTr="00B8596D">
        <w:tc>
          <w:tcPr>
            <w:tcW w:w="2601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AA68FB" w:rsidRPr="00376408" w:rsidRDefault="00AA68FB" w:rsidP="00B8596D">
            <w:pPr>
              <w:pStyle w:val="Stopka"/>
              <w:tabs>
                <w:tab w:val="left" w:pos="-720"/>
              </w:tabs>
              <w:suppressAutoHyphens/>
              <w:spacing w:before="20" w:after="20"/>
              <w:ind w:left="110"/>
              <w:rPr>
                <w:rFonts w:ascii="Arial" w:hAnsi="Arial" w:cs="Arial"/>
                <w:spacing w:val="-3"/>
              </w:rPr>
            </w:pPr>
            <w:r w:rsidRPr="00376408">
              <w:rPr>
                <w:rFonts w:ascii="Arial" w:hAnsi="Arial" w:cs="Arial"/>
                <w:spacing w:val="-3"/>
              </w:rPr>
              <w:t>Oznakowanie niebieskie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0,078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0,200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0,240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0,137</w:t>
            </w:r>
          </w:p>
        </w:tc>
      </w:tr>
      <w:tr w:rsidR="00AA68FB" w:rsidRPr="00DC095D" w:rsidTr="00B8596D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0,171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0,255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0,210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A68FB" w:rsidRPr="00DC095D" w:rsidRDefault="00AA68FB" w:rsidP="00B8596D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  <w:spacing w:val="-3"/>
              </w:rPr>
            </w:pPr>
            <w:r w:rsidRPr="00DC095D">
              <w:rPr>
                <w:rFonts w:ascii="Arial" w:hAnsi="Arial" w:cs="Arial"/>
                <w:spacing w:val="-3"/>
              </w:rPr>
              <w:t>0,038</w:t>
            </w:r>
          </w:p>
        </w:tc>
      </w:tr>
    </w:tbl>
    <w:p w:rsidR="00AA68FB" w:rsidRPr="00376408" w:rsidRDefault="00AA68FB" w:rsidP="00AA68FB">
      <w:pPr>
        <w:pStyle w:val="Stopka"/>
        <w:numPr>
          <w:ilvl w:val="12"/>
          <w:numId w:val="0"/>
        </w:numPr>
        <w:tabs>
          <w:tab w:val="left" w:pos="709"/>
        </w:tabs>
        <w:spacing w:before="120"/>
        <w:ind w:left="110"/>
        <w:jc w:val="left"/>
        <w:rPr>
          <w:rFonts w:ascii="Arial" w:hAnsi="Arial" w:cs="Arial"/>
          <w:noProof/>
        </w:rPr>
      </w:pPr>
    </w:p>
    <w:p w:rsidR="00AA68FB" w:rsidRPr="00376408" w:rsidRDefault="00AA68FB" w:rsidP="00AA68FB">
      <w:pPr>
        <w:pStyle w:val="Stopka"/>
        <w:numPr>
          <w:ilvl w:val="12"/>
          <w:numId w:val="0"/>
        </w:numPr>
        <w:tabs>
          <w:tab w:val="left" w:pos="709"/>
        </w:tabs>
        <w:spacing w:before="120"/>
        <w:ind w:left="110"/>
        <w:jc w:val="left"/>
        <w:rPr>
          <w:rFonts w:ascii="Arial" w:hAnsi="Arial" w:cs="Arial"/>
          <w:noProof/>
        </w:rPr>
      </w:pP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6347460" cy="5305425"/>
            <wp:effectExtent l="19050" t="0" r="0" b="0"/>
            <wp:docPr id="1" name="Obraz 90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0" descr="rys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460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Rys. 1. Współrzędne chromatyczności </w:t>
      </w:r>
      <w:proofErr w:type="spellStart"/>
      <w:r w:rsidRPr="00376408">
        <w:rPr>
          <w:rFonts w:ascii="Arial" w:hAnsi="Arial" w:cs="Arial"/>
        </w:rPr>
        <w:t>x,y</w:t>
      </w:r>
      <w:proofErr w:type="spellEnd"/>
      <w:r w:rsidRPr="00376408">
        <w:rPr>
          <w:rFonts w:ascii="Arial" w:hAnsi="Arial" w:cs="Arial"/>
        </w:rPr>
        <w:t xml:space="preserve"> dla barwy białej oznakowania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6177280" cy="5305425"/>
            <wp:effectExtent l="19050" t="0" r="0" b="0"/>
            <wp:docPr id="2" name="Obraz 91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1" descr="rys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Rys.2. Współrzędne chromatyczności </w:t>
      </w:r>
      <w:proofErr w:type="spellStart"/>
      <w:r w:rsidRPr="00376408">
        <w:rPr>
          <w:rFonts w:ascii="Arial" w:hAnsi="Arial" w:cs="Arial"/>
        </w:rPr>
        <w:t>x,y</w:t>
      </w:r>
      <w:proofErr w:type="spellEnd"/>
      <w:r w:rsidRPr="00376408">
        <w:rPr>
          <w:rFonts w:ascii="Arial" w:hAnsi="Arial" w:cs="Arial"/>
        </w:rPr>
        <w:t xml:space="preserve"> dla barwy żółtej oznakowania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76825" cy="5448300"/>
            <wp:effectExtent l="0" t="0" r="0" b="0"/>
            <wp:wrapTopAndBottom/>
            <wp:docPr id="3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8FB" w:rsidRPr="00376408" w:rsidRDefault="00AA68FB" w:rsidP="00AA68FB">
      <w:pPr>
        <w:pStyle w:val="Tekstkomentarza"/>
        <w:tabs>
          <w:tab w:val="left" w:pos="-720"/>
        </w:tabs>
        <w:suppressAutoHyphens/>
        <w:spacing w:before="0" w:line="360" w:lineRule="auto"/>
        <w:ind w:left="110"/>
        <w:rPr>
          <w:rFonts w:ascii="Arial" w:hAnsi="Arial" w:cs="Arial"/>
          <w:spacing w:val="-3"/>
          <w:sz w:val="20"/>
          <w:szCs w:val="20"/>
        </w:rPr>
      </w:pPr>
      <w:r w:rsidRPr="00376408">
        <w:rPr>
          <w:rFonts w:ascii="Arial" w:hAnsi="Arial" w:cs="Arial"/>
          <w:spacing w:val="-3"/>
          <w:sz w:val="20"/>
          <w:szCs w:val="20"/>
        </w:rPr>
        <w:t>Rys. 3. Granice barw białej, żółtej, czerwonej, niebieskiej i zielonej oznakowania</w:t>
      </w:r>
    </w:p>
    <w:p w:rsidR="00AA68FB" w:rsidRPr="00376408" w:rsidRDefault="00AA68FB" w:rsidP="00AA68FB">
      <w:pPr>
        <w:pStyle w:val="Tekstkomentarza"/>
        <w:tabs>
          <w:tab w:val="left" w:pos="-720"/>
        </w:tabs>
        <w:suppressAutoHyphens/>
        <w:spacing w:before="0" w:line="360" w:lineRule="auto"/>
        <w:ind w:left="110"/>
        <w:rPr>
          <w:rFonts w:ascii="Arial" w:hAnsi="Arial" w:cs="Arial"/>
          <w:spacing w:val="-3"/>
          <w:sz w:val="20"/>
          <w:szCs w:val="20"/>
        </w:rPr>
      </w:pP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ab/>
        <w:t xml:space="preserve">Pomiar współczynnika luminancji </w:t>
      </w:r>
      <w:r w:rsidRPr="00376408">
        <w:rPr>
          <w:rFonts w:ascii="Arial" w:hAnsi="Arial" w:cs="Arial"/>
        </w:rPr>
        <w:sym w:font="Symbol" w:char="F062"/>
      </w:r>
      <w:r w:rsidRPr="00376408">
        <w:rPr>
          <w:rFonts w:ascii="Arial" w:hAnsi="Arial" w:cs="Arial"/>
        </w:rPr>
        <w:t xml:space="preserve"> może być zastąpiony pomiarem współczynnika luminancji w świetle rozproszonym </w:t>
      </w:r>
      <w:proofErr w:type="spellStart"/>
      <w:r w:rsidRPr="00376408">
        <w:rPr>
          <w:rFonts w:ascii="Arial" w:hAnsi="Arial" w:cs="Arial"/>
        </w:rPr>
        <w:t>Qd</w:t>
      </w:r>
      <w:proofErr w:type="spellEnd"/>
      <w:r w:rsidRPr="00376408">
        <w:rPr>
          <w:rFonts w:ascii="Arial" w:hAnsi="Arial" w:cs="Arial"/>
        </w:rPr>
        <w:t>, wg PN-EN 1436:2000 [4] lub wg POD-97 [9] i POD-2006 (po wydaniu) [10].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określenia odbicia światła dziennego lub odbicia oświetlenia drogi od oznakowania stosuje się współczynnik luminancji w świetle rozproszonym </w:t>
      </w:r>
      <w:proofErr w:type="spellStart"/>
      <w:r w:rsidRPr="00376408">
        <w:rPr>
          <w:rFonts w:ascii="Arial" w:hAnsi="Arial" w:cs="Arial"/>
        </w:rPr>
        <w:t>Qd</w:t>
      </w:r>
      <w:proofErr w:type="spellEnd"/>
      <w:r w:rsidRPr="00376408">
        <w:rPr>
          <w:rFonts w:ascii="Arial" w:hAnsi="Arial" w:cs="Arial"/>
        </w:rPr>
        <w:t xml:space="preserve">. 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Wartość współczynnika </w:t>
      </w:r>
      <w:proofErr w:type="spellStart"/>
      <w:r w:rsidRPr="00376408">
        <w:rPr>
          <w:rFonts w:ascii="Arial" w:hAnsi="Arial" w:cs="Arial"/>
        </w:rPr>
        <w:t>Qd</w:t>
      </w:r>
      <w:proofErr w:type="spellEnd"/>
      <w:r w:rsidRPr="00376408">
        <w:rPr>
          <w:rFonts w:ascii="Arial" w:hAnsi="Arial" w:cs="Arial"/>
        </w:rPr>
        <w:t xml:space="preserve"> dla oznakowania nowego w ciągu 14 - 30 dni po wykonaniu powinna wynosić dla oznakowania świeżego,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co najmniej 130 mcd m</w:t>
      </w:r>
      <w:r w:rsidRPr="00376408">
        <w:rPr>
          <w:rFonts w:ascii="Arial" w:hAnsi="Arial" w:cs="Arial"/>
          <w:vertAlign w:val="superscript"/>
        </w:rPr>
        <w:t>-2</w:t>
      </w:r>
      <w:r w:rsidRPr="00376408">
        <w:rPr>
          <w:rFonts w:ascii="Arial" w:hAnsi="Arial" w:cs="Arial"/>
        </w:rPr>
        <w:t xml:space="preserve"> 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 (nawierzchnie asfaltowe), klasa Q3,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co najmniej 160 mcd m</w:t>
      </w:r>
      <w:r w:rsidRPr="00376408">
        <w:rPr>
          <w:rFonts w:ascii="Arial" w:hAnsi="Arial" w:cs="Arial"/>
          <w:vertAlign w:val="superscript"/>
        </w:rPr>
        <w:t>-2</w:t>
      </w:r>
      <w:r w:rsidRPr="00376408">
        <w:rPr>
          <w:rFonts w:ascii="Arial" w:hAnsi="Arial" w:cs="Arial"/>
        </w:rPr>
        <w:t xml:space="preserve"> 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 (nawierzchnie betonowe), klasa Q4,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żółtej, co najmniej 100 mcd m</w:t>
      </w:r>
      <w:r w:rsidRPr="00376408">
        <w:rPr>
          <w:rFonts w:ascii="Arial" w:hAnsi="Arial" w:cs="Arial"/>
          <w:vertAlign w:val="superscript"/>
        </w:rPr>
        <w:t>-2</w:t>
      </w:r>
      <w:r w:rsidRPr="00376408">
        <w:rPr>
          <w:rFonts w:ascii="Arial" w:hAnsi="Arial" w:cs="Arial"/>
        </w:rPr>
        <w:t xml:space="preserve"> 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), klasa Q2,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Wartość współczynnika </w:t>
      </w:r>
      <w:proofErr w:type="spellStart"/>
      <w:r w:rsidRPr="00376408">
        <w:rPr>
          <w:rFonts w:ascii="Arial" w:hAnsi="Arial" w:cs="Arial"/>
        </w:rPr>
        <w:t>Qd</w:t>
      </w:r>
      <w:proofErr w:type="spellEnd"/>
      <w:r w:rsidRPr="00376408">
        <w:rPr>
          <w:rFonts w:ascii="Arial" w:hAnsi="Arial" w:cs="Arial"/>
        </w:rPr>
        <w:t xml:space="preserve"> powinna wynosić dla oznakowania eksploatowanego po 30 dniu od wykonania, w ciągu całego okresu użytkowania, 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co najmniej 100 mcd m</w:t>
      </w:r>
      <w:r w:rsidRPr="00376408">
        <w:rPr>
          <w:rFonts w:ascii="Arial" w:hAnsi="Arial" w:cs="Arial"/>
          <w:vertAlign w:val="superscript"/>
        </w:rPr>
        <w:t>-2</w:t>
      </w:r>
      <w:r w:rsidRPr="00376408">
        <w:rPr>
          <w:rFonts w:ascii="Arial" w:hAnsi="Arial" w:cs="Arial"/>
        </w:rPr>
        <w:t xml:space="preserve"> 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(nawierzchnie asfaltowe), klasa Q2,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białej, co najmniej 130 mcd m</w:t>
      </w:r>
      <w:r w:rsidRPr="00376408">
        <w:rPr>
          <w:rFonts w:ascii="Arial" w:hAnsi="Arial" w:cs="Arial"/>
          <w:vertAlign w:val="superscript"/>
        </w:rPr>
        <w:t>-2</w:t>
      </w:r>
      <w:r w:rsidRPr="00376408">
        <w:rPr>
          <w:rFonts w:ascii="Arial" w:hAnsi="Arial" w:cs="Arial"/>
        </w:rPr>
        <w:t xml:space="preserve"> 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(nawierzchnie betonowe), klasa Q3,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żółtej, co najmniej 80 mcd m</w:t>
      </w:r>
      <w:r w:rsidRPr="00376408">
        <w:rPr>
          <w:rFonts w:ascii="Arial" w:hAnsi="Arial" w:cs="Arial"/>
          <w:vertAlign w:val="superscript"/>
        </w:rPr>
        <w:t>-2</w:t>
      </w:r>
      <w:r w:rsidRPr="00376408">
        <w:rPr>
          <w:rFonts w:ascii="Arial" w:hAnsi="Arial" w:cs="Arial"/>
        </w:rPr>
        <w:t xml:space="preserve"> 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, klasa Q1.</w:t>
      </w:r>
    </w:p>
    <w:p w:rsidR="00AA68FB" w:rsidRPr="00376408" w:rsidRDefault="00AA68FB" w:rsidP="00AA68FB">
      <w:pPr>
        <w:keepNext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 6.3.1.3. Widzialność w nocy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 miarę widzialności w nocy przyjęto powierzchniowy współczynnik odblasku R</w:t>
      </w:r>
      <w:r w:rsidRPr="00376408">
        <w:rPr>
          <w:rFonts w:ascii="Arial" w:hAnsi="Arial" w:cs="Arial"/>
          <w:vertAlign w:val="subscript"/>
        </w:rPr>
        <w:t>L</w:t>
      </w:r>
      <w:r w:rsidRPr="00376408">
        <w:rPr>
          <w:rFonts w:ascii="Arial" w:hAnsi="Arial" w:cs="Arial"/>
        </w:rPr>
        <w:t>, określany według PN-EN 1436:2000 [4] z uwzględnieniem podziału na klasy PN-EN 1436:2000/A1:2005 [4a].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Wartość współczynnika R</w:t>
      </w:r>
      <w:r w:rsidRPr="00376408">
        <w:rPr>
          <w:rFonts w:ascii="Arial" w:hAnsi="Arial" w:cs="Arial"/>
          <w:vertAlign w:val="subscript"/>
        </w:rPr>
        <w:t>L</w:t>
      </w:r>
      <w:r w:rsidRPr="00376408">
        <w:rPr>
          <w:rFonts w:ascii="Arial" w:hAnsi="Arial" w:cs="Arial"/>
        </w:rPr>
        <w:t xml:space="preserve"> powinna wynosić dla oznakowania nowego (w stanie suchym) w ciągu 14 - 30 dni po wykonaniu,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białej, na autostradach, drogach ekspresowych oraz na drogach o prędkości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76408">
          <w:rPr>
            <w:rFonts w:ascii="Arial" w:hAnsi="Arial" w:cs="Arial"/>
          </w:rPr>
          <w:t>100 km/h</w:t>
        </w:r>
      </w:smartTag>
      <w:r w:rsidRPr="00376408">
        <w:rPr>
          <w:rFonts w:ascii="Arial" w:hAnsi="Arial" w:cs="Arial"/>
        </w:rPr>
        <w:t xml:space="preserve"> lub o natężeniu ruchu &gt; 2 500 pojazdów rzeczywistych na dobę na pas,</w:t>
      </w:r>
      <w:r w:rsidRPr="00376408">
        <w:rPr>
          <w:rFonts w:ascii="Arial" w:hAnsi="Arial" w:cs="Arial"/>
        </w:rPr>
        <w:br/>
        <w:t>co najmniej 250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, klasa R4/5,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na pozostałych drogach, co najmniej 200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, klasa R4,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żółtej tymczasowej, co najmniej 150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, klasa R3,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Wartość współczynnika R</w:t>
      </w:r>
      <w:r w:rsidRPr="00376408">
        <w:rPr>
          <w:rFonts w:ascii="Arial" w:hAnsi="Arial" w:cs="Arial"/>
          <w:vertAlign w:val="subscript"/>
        </w:rPr>
        <w:t>L</w:t>
      </w:r>
      <w:r w:rsidRPr="00376408">
        <w:rPr>
          <w:rFonts w:ascii="Arial" w:hAnsi="Arial" w:cs="Arial"/>
        </w:rPr>
        <w:t xml:space="preserve"> powinna wynosić dla oznakowania eksploatowanego w ciągu od 2 do 6 miesięcy po wykonaniu, 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białej, na autostradach, drogach ekspresowych oraz na drogach o prędkości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76408">
          <w:rPr>
            <w:rFonts w:ascii="Arial" w:hAnsi="Arial" w:cs="Arial"/>
          </w:rPr>
          <w:t>100 km/h</w:t>
        </w:r>
      </w:smartTag>
      <w:r w:rsidRPr="00376408">
        <w:rPr>
          <w:rFonts w:ascii="Arial" w:hAnsi="Arial" w:cs="Arial"/>
        </w:rPr>
        <w:t xml:space="preserve"> lub o natężeniu ruchu &gt; 2 500 pojazdów rzeczywistych na dobę na pas,</w:t>
      </w:r>
      <w:r w:rsidRPr="00376408">
        <w:rPr>
          <w:rFonts w:ascii="Arial" w:hAnsi="Arial" w:cs="Arial"/>
        </w:rPr>
        <w:br/>
        <w:t>co najmniej 200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, klasa R4,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na pozostałych drogach, co najmniej 150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>, klasa R3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żółtej tymczasowej, co najmniej 100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 , klasa R2.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Wartość współczynnika R</w:t>
      </w:r>
      <w:r w:rsidRPr="00376408">
        <w:rPr>
          <w:rFonts w:ascii="Arial" w:hAnsi="Arial" w:cs="Arial"/>
          <w:vertAlign w:val="subscript"/>
        </w:rPr>
        <w:t>L</w:t>
      </w:r>
      <w:r w:rsidRPr="00376408">
        <w:rPr>
          <w:rFonts w:ascii="Arial" w:hAnsi="Arial" w:cs="Arial"/>
        </w:rPr>
        <w:t xml:space="preserve"> powinna wynosić dla oznakowania eksploatowanego od 7 miesiąca po wykonaniu, 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białej, na autostradach, drogach ekspresowych oraz na drogach o prędkości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76408">
          <w:rPr>
            <w:rFonts w:ascii="Arial" w:hAnsi="Arial" w:cs="Arial"/>
          </w:rPr>
          <w:t>100 km/h</w:t>
        </w:r>
      </w:smartTag>
      <w:r w:rsidRPr="00376408">
        <w:rPr>
          <w:rFonts w:ascii="Arial" w:hAnsi="Arial" w:cs="Arial"/>
        </w:rPr>
        <w:t xml:space="preserve"> lub o natężeniu ruchu &gt; 2 500 pojazdów rzeczywistych na dobę na pas,</w:t>
      </w:r>
      <w:r w:rsidRPr="00376408">
        <w:rPr>
          <w:rFonts w:ascii="Arial" w:hAnsi="Arial" w:cs="Arial"/>
        </w:rPr>
        <w:br/>
        <w:t>co najmniej 150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 , klasa R3,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na pozostałych drogach, co najmniej 100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 , klasa R2,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żółtej tymczasowej, co najmniej 100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 , klasa R2.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Na nawierzchniach o grubej makroteksturze, takich jak: powierzchniowe utrwalanie oraz na nawierzchniach niejednorodnych można wyjątkowo, tylko na drogach określonych w tablicy 5, dopuścić wartość współczynnika odblasku R</w:t>
      </w:r>
      <w:r w:rsidRPr="00376408">
        <w:rPr>
          <w:rFonts w:ascii="Arial" w:hAnsi="Arial" w:cs="Arial"/>
          <w:vertAlign w:val="subscript"/>
        </w:rPr>
        <w:t>L</w:t>
      </w:r>
      <w:r w:rsidRPr="00376408">
        <w:rPr>
          <w:rFonts w:ascii="Arial" w:hAnsi="Arial" w:cs="Arial"/>
        </w:rPr>
        <w:t xml:space="preserve"> = 70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 , klasa R1 dla oznakowania cienkowarstwowego eksploatowanego od 6 miesiąca po wykonaniu.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Na nawierzchniach nowych lub odnowionych z warstwą ścieralną z SMA zaleca się stosować materiały grubowarstwowe.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W szczególnie uzasadnionych przypadkach możliwe jest ustalenie w SST wyższych klas wymagań wg PN-EN 1436:2000/A1:2005 [4a].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Wartość współczynnika R</w:t>
      </w:r>
      <w:r w:rsidRPr="00376408">
        <w:rPr>
          <w:rFonts w:ascii="Arial" w:hAnsi="Arial" w:cs="Arial"/>
          <w:vertAlign w:val="subscript"/>
        </w:rPr>
        <w:t>L</w:t>
      </w:r>
      <w:r w:rsidRPr="00376408">
        <w:rPr>
          <w:rFonts w:ascii="Arial" w:hAnsi="Arial" w:cs="Arial"/>
        </w:rPr>
        <w:t xml:space="preserve"> powinna wynosić dla oznakowania profilowanego, nowego (w stanie wilgotnym) i eksploatowanego w okresie gwarancji wg PN-EN 1436:2000 [4] zmierzona od 14 do 30 dni po wykonaniu, barwy: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białej, co najmniej 50 mcd m</w:t>
      </w:r>
      <w:r w:rsidRPr="00376408">
        <w:rPr>
          <w:rFonts w:ascii="Arial" w:hAnsi="Arial" w:cs="Arial"/>
          <w:vertAlign w:val="superscript"/>
        </w:rPr>
        <w:t>-2 </w:t>
      </w:r>
      <w:r w:rsidRPr="00376408">
        <w:rPr>
          <w:rFonts w:ascii="Arial" w:hAnsi="Arial" w:cs="Arial"/>
        </w:rPr>
        <w:t>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, klasa </w:t>
      </w:r>
      <w:r w:rsidRPr="00376408">
        <w:rPr>
          <w:rFonts w:ascii="Arial" w:hAnsi="Arial" w:cs="Arial"/>
          <w:spacing w:val="-3"/>
        </w:rPr>
        <w:t>RW3</w:t>
      </w:r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 okresie eksploatacji co najmniej 35 mcd m</w:t>
      </w:r>
      <w:r w:rsidRPr="00376408">
        <w:rPr>
          <w:rFonts w:ascii="Arial" w:hAnsi="Arial" w:cs="Arial"/>
          <w:vertAlign w:val="superscript"/>
        </w:rPr>
        <w:t>-2</w:t>
      </w:r>
      <w:r w:rsidRPr="00376408">
        <w:rPr>
          <w:rFonts w:ascii="Arial" w:hAnsi="Arial" w:cs="Arial"/>
        </w:rPr>
        <w:t xml:space="preserve"> lx</w:t>
      </w:r>
      <w:r w:rsidRPr="00376408">
        <w:rPr>
          <w:rFonts w:ascii="Arial" w:hAnsi="Arial" w:cs="Arial"/>
          <w:vertAlign w:val="superscript"/>
        </w:rPr>
        <w:t>-1</w:t>
      </w:r>
      <w:r w:rsidRPr="00376408">
        <w:rPr>
          <w:rFonts w:ascii="Arial" w:hAnsi="Arial" w:cs="Arial"/>
        </w:rPr>
        <w:t xml:space="preserve">, klasa </w:t>
      </w:r>
      <w:r w:rsidRPr="00376408">
        <w:rPr>
          <w:rFonts w:ascii="Arial" w:hAnsi="Arial" w:cs="Arial"/>
          <w:spacing w:val="-3"/>
        </w:rPr>
        <w:t>RW2.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Powyższe wymaganie dotyczy jedynie oznakowań profilowanych, takich jak oznakowanie strukturalne wykonywane masami termoplastycznymi, masami chemoutwardzalnymi i taśmami w postaci np. poprzecznych </w:t>
      </w:r>
      <w:proofErr w:type="spellStart"/>
      <w:r w:rsidRPr="00376408">
        <w:rPr>
          <w:rFonts w:ascii="Arial" w:hAnsi="Arial" w:cs="Arial"/>
        </w:rPr>
        <w:t>wygarbień</w:t>
      </w:r>
      <w:proofErr w:type="spellEnd"/>
      <w:r w:rsidRPr="00376408">
        <w:rPr>
          <w:rFonts w:ascii="Arial" w:hAnsi="Arial" w:cs="Arial"/>
        </w:rPr>
        <w:t xml:space="preserve"> (baretek), </w:t>
      </w:r>
      <w:proofErr w:type="spellStart"/>
      <w:r w:rsidRPr="00376408">
        <w:rPr>
          <w:rFonts w:ascii="Arial" w:hAnsi="Arial" w:cs="Arial"/>
        </w:rPr>
        <w:t>drop-on-line</w:t>
      </w:r>
      <w:proofErr w:type="spellEnd"/>
      <w:r w:rsidRPr="00376408">
        <w:rPr>
          <w:rFonts w:ascii="Arial" w:hAnsi="Arial" w:cs="Arial"/>
        </w:rPr>
        <w:t>, itp.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Wykonywanie pomiarów na oznakowaniu ciągłym z naniesionymi </w:t>
      </w:r>
      <w:proofErr w:type="spellStart"/>
      <w:r w:rsidRPr="00376408">
        <w:rPr>
          <w:rFonts w:ascii="Arial" w:hAnsi="Arial" w:cs="Arial"/>
        </w:rPr>
        <w:t>wygarbieniami</w:t>
      </w:r>
      <w:proofErr w:type="spellEnd"/>
      <w:r w:rsidRPr="00376408">
        <w:rPr>
          <w:rFonts w:ascii="Arial" w:hAnsi="Arial" w:cs="Arial"/>
        </w:rPr>
        <w:t xml:space="preserve"> może być wykonywane tylko metoda dynamiczną. Pomiar aparatami ręcznymi jest albo niemożliwy albo obciążony dużym błędem.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Wykonywanie pomiarów odblaskowości na pozostałych typach oznakowania strukturalnego, z uwagi na jego niecałkowite i niejednorodne pokrycie powierzchni oznakowania, jest obarczone większym błędem niż na oznakowaniach pełnych. Dlatego podczas odbioru czy kontroli, należy przyjąć jako dopuszczalne wartości współczynnika odblasku o 20 % niższe od przyjętych w SST.</w:t>
      </w:r>
    </w:p>
    <w:p w:rsidR="00AA68FB" w:rsidRPr="00376408" w:rsidRDefault="00AA68FB" w:rsidP="00AA68FB">
      <w:pPr>
        <w:pStyle w:val="Stopka"/>
        <w:numPr>
          <w:ilvl w:val="12"/>
          <w:numId w:val="0"/>
        </w:numPr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6.3.1.4. Szorstkość oznakowania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Miarą szorstkości oznakowania jest wartość wskaźnika szorstkości SRT (</w:t>
      </w:r>
      <w:proofErr w:type="spellStart"/>
      <w:r w:rsidRPr="00376408">
        <w:rPr>
          <w:rFonts w:ascii="Arial" w:hAnsi="Arial" w:cs="Arial"/>
        </w:rPr>
        <w:t>Skid</w:t>
      </w:r>
      <w:proofErr w:type="spellEnd"/>
      <w:r w:rsidRPr="00376408">
        <w:rPr>
          <w:rFonts w:ascii="Arial" w:hAnsi="Arial" w:cs="Arial"/>
        </w:rPr>
        <w:t xml:space="preserve"> </w:t>
      </w:r>
      <w:proofErr w:type="spellStart"/>
      <w:r w:rsidRPr="00376408">
        <w:rPr>
          <w:rFonts w:ascii="Arial" w:hAnsi="Arial" w:cs="Arial"/>
        </w:rPr>
        <w:t>Resistance</w:t>
      </w:r>
      <w:proofErr w:type="spellEnd"/>
      <w:r w:rsidRPr="00376408">
        <w:rPr>
          <w:rFonts w:ascii="Arial" w:hAnsi="Arial" w:cs="Arial"/>
        </w:rPr>
        <w:t xml:space="preserve"> Tester) mierzona wahadłem angielskim, wg PN-EN 1436:2000 [4] lub POD-97 [9] i POD-2006 (po wydaniu) [10]. Wartość SRT symuluje warunki, w których pojazd wyposażony w typowe opony hamuje z blokadą kół przy prędkości </w:t>
      </w:r>
      <w:smartTag w:uri="urn:schemas-microsoft-com:office:smarttags" w:element="metricconverter">
        <w:smartTagPr>
          <w:attr w:name="ProductID" w:val="50 km/h"/>
        </w:smartTagPr>
        <w:r w:rsidRPr="00376408">
          <w:rPr>
            <w:rFonts w:ascii="Arial" w:hAnsi="Arial" w:cs="Arial"/>
          </w:rPr>
          <w:t>50 km/h</w:t>
        </w:r>
      </w:smartTag>
      <w:r w:rsidRPr="00376408">
        <w:rPr>
          <w:rFonts w:ascii="Arial" w:hAnsi="Arial" w:cs="Arial"/>
        </w:rPr>
        <w:t xml:space="preserve"> na mokrej nawierzchni.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 się, aby wartość wskaźnika szorstkości SRT wynosiła na oznakowaniu: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 ciągu całego okresu użytkowania, co najmniej 45 jednostek SRT (klasa S1).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Dopuszcza się podwyższenie w SST wymagania szorstkości do 50 – 60 jednostek SRT (klasy S2 – S3), w uzasadnionych przypadkach. Uzyskanie większej szorstkości oznakowania, wiąże się z zastosowaniem kruszywa przeciwpoślizgowego samego lub w mieszaninie z kulkami szklanymi wg PN-EN 1423:2001 [3]. Należy przy tym wziąć pod uwagę jednoczesne obniżenie wartości współczynnika luminancji i współczynnika odblasku.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Szorstkość oznakowania, na którym nie zastosowano kruszywa przeciwpoślizgowego, zazwyczaj wzrasta w okresie eksploatacji oznakowania, dlatego nie należy wymagać wyższej jego wartości na starcie, a niższej w okresie gwarancji.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Wykonywanie pomiarów wskaźnika szorstkości SRT dotyczy oznakowań jednolitych, płaskich, wykonanych farbami, masami termoplastycznymi, masami chemoutwardzalnymi i taśmami. Pomiar na oznakowaniu strukturalnym jest, jeśli możliwy, to nie miarodajny. W przypadku oznakowania z </w:t>
      </w:r>
      <w:proofErr w:type="spellStart"/>
      <w:r w:rsidRPr="00376408">
        <w:rPr>
          <w:rFonts w:ascii="Arial" w:hAnsi="Arial" w:cs="Arial"/>
        </w:rPr>
        <w:t>wygarbieniami</w:t>
      </w:r>
      <w:proofErr w:type="spellEnd"/>
      <w:r w:rsidRPr="00376408">
        <w:rPr>
          <w:rFonts w:ascii="Arial" w:hAnsi="Arial" w:cs="Arial"/>
        </w:rPr>
        <w:t xml:space="preserve"> i punktowymi elementami odblaskowymi pomiar nie jest możliwy.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  <w:i/>
          <w:iCs/>
        </w:rPr>
      </w:pPr>
      <w:r w:rsidRPr="00376408">
        <w:rPr>
          <w:rFonts w:ascii="Arial" w:hAnsi="Arial" w:cs="Arial"/>
          <w:i/>
          <w:iCs/>
        </w:rPr>
        <w:t>UWAGA: Wskaźnik szorstkości SRT w normach powierzchniowych został nazwany PTV (</w:t>
      </w:r>
      <w:proofErr w:type="spellStart"/>
      <w:r w:rsidRPr="00376408">
        <w:rPr>
          <w:rFonts w:ascii="Arial" w:hAnsi="Arial" w:cs="Arial"/>
          <w:i/>
          <w:iCs/>
        </w:rPr>
        <w:t>Polishing</w:t>
      </w:r>
      <w:proofErr w:type="spellEnd"/>
      <w:r w:rsidRPr="00376408">
        <w:rPr>
          <w:rFonts w:ascii="Arial" w:hAnsi="Arial" w:cs="Arial"/>
          <w:i/>
          <w:iCs/>
        </w:rPr>
        <w:t xml:space="preserve"> Test </w:t>
      </w:r>
      <w:proofErr w:type="spellStart"/>
      <w:r w:rsidRPr="00376408">
        <w:rPr>
          <w:rFonts w:ascii="Arial" w:hAnsi="Arial" w:cs="Arial"/>
          <w:i/>
          <w:iCs/>
        </w:rPr>
        <w:t>Value</w:t>
      </w:r>
      <w:proofErr w:type="spellEnd"/>
      <w:r w:rsidRPr="00376408">
        <w:rPr>
          <w:rFonts w:ascii="Arial" w:hAnsi="Arial" w:cs="Arial"/>
          <w:i/>
          <w:iCs/>
        </w:rPr>
        <w:t>) za PN-EN 13 036-4:2004(U)[6a]. Metoda pomiaru i sprzęt do jego wykonania są identyczne z przyjętymi w PN-EN 1436:2000[4] dla oznakowań poziomych.</w:t>
      </w:r>
    </w:p>
    <w:p w:rsidR="00AA68FB" w:rsidRPr="00376408" w:rsidRDefault="00AA68FB" w:rsidP="00AA68FB">
      <w:pPr>
        <w:numPr>
          <w:ilvl w:val="12"/>
          <w:numId w:val="0"/>
        </w:num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6.3.1.5. Trwałość oznakowania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Trwałość oznakowania cienkowarstwowego oceniana jako stopień zużycia w 10-stopniowej skali LCPC określonej w POD-97 [9] lub POD-2006 (po wydaniu) [10] powinna wynosić po 12-miesięcznym okresie eksploatacji oznakowania: co najmniej 6.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Taka metoda oceny znajduje szczególnie zastosowanie do oceny przydatności materiałów do poziomego oznakowania dróg.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celach kontrolnych trwałość jest oceniana pośrednio przez sprawdzenie spełniania wymagań widoczności w dzień, w nocy i szorstkości.</w:t>
      </w:r>
    </w:p>
    <w:p w:rsidR="00AA68FB" w:rsidRPr="00376408" w:rsidRDefault="00AA68FB" w:rsidP="00AA68FB">
      <w:pPr>
        <w:keepNext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6.3.1.6. Czas schnięcia oznakowania (względnie czas do przejezdności oznakowania)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 czas schnięcia oznakowania przyjmuje się czas upływający między wykonaniem oznakowania a jego oddaniem do ruchu.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Czas schnięcia oznakowania nie powinien przekraczać czasu gwarantowanego przez producenta, z tym że nie może przekraczać 2 godzin w przypadku wymalowań nocnych i 1 godziny w przypadku wymalowań dziennych. Metoda oznaczenia czasu schnięcia znajduje się w POD-97 [9] lub POD-2006 (po wydaniu) [10].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6.3.1.7. Grubość oznakowania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Grubość oznakowania, tj. podwyższenie ponad górną powierzchnię nawierzchni, powinna wynosić dla:</w:t>
      </w:r>
    </w:p>
    <w:p w:rsidR="00AA68FB" w:rsidRPr="00376408" w:rsidRDefault="00AA68FB" w:rsidP="00AA68FB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oznakowania cienkowarstwowego (grubość na mokro bez kulek szklanych), co najwyżej </w:t>
      </w:r>
      <w:smartTag w:uri="urn:schemas-microsoft-com:office:smarttags" w:element="metricconverter">
        <w:smartTagPr>
          <w:attr w:name="ProductID" w:val="0,89 mm"/>
        </w:smartTagPr>
        <w:r w:rsidRPr="00376408">
          <w:rPr>
            <w:rFonts w:ascii="Arial" w:hAnsi="Arial" w:cs="Arial"/>
          </w:rPr>
          <w:t>0,89 mm</w:t>
        </w:r>
      </w:smartTag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oznakowania grubowarstwowego, co najmniej </w:t>
      </w:r>
      <w:smartTag w:uri="urn:schemas-microsoft-com:office:smarttags" w:element="metricconverter">
        <w:smartTagPr>
          <w:attr w:name="ProductID" w:val="0,90 mm"/>
        </w:smartTagPr>
        <w:r w:rsidRPr="00376408">
          <w:rPr>
            <w:rFonts w:ascii="Arial" w:hAnsi="Arial" w:cs="Arial"/>
          </w:rPr>
          <w:t>0,90 mm</w:t>
        </w:r>
      </w:smartTag>
      <w:r w:rsidRPr="00376408">
        <w:rPr>
          <w:rFonts w:ascii="Arial" w:hAnsi="Arial" w:cs="Arial"/>
        </w:rPr>
        <w:t xml:space="preserve"> i co najwyżej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>5 mm</w:t>
        </w:r>
      </w:smartTag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punktowych elementów odblaskowych umieszczanych na części jezdnej drogi, co najwyżej </w:t>
      </w:r>
      <w:smartTag w:uri="urn:schemas-microsoft-com:office:smarttags" w:element="metricconverter">
        <w:smartTagPr>
          <w:attr w:name="ProductID" w:val="15 mm"/>
        </w:smartTagPr>
        <w:r w:rsidRPr="00376408">
          <w:rPr>
            <w:rFonts w:ascii="Arial" w:hAnsi="Arial" w:cs="Arial"/>
          </w:rPr>
          <w:t>15 mm</w:t>
        </w:r>
      </w:smartTag>
      <w:r w:rsidRPr="00376408">
        <w:rPr>
          <w:rFonts w:ascii="Arial" w:hAnsi="Arial" w:cs="Arial"/>
        </w:rPr>
        <w:t xml:space="preserve">, a w uzasadnionych przypadkach ustalonych w dokumentacji projektowej, co najwyżej </w:t>
      </w:r>
      <w:smartTag w:uri="urn:schemas-microsoft-com:office:smarttags" w:element="metricconverter">
        <w:smartTagPr>
          <w:attr w:name="ProductID" w:val="25 mm"/>
        </w:smartTagPr>
        <w:r w:rsidRPr="00376408">
          <w:rPr>
            <w:rFonts w:ascii="Arial" w:hAnsi="Arial" w:cs="Arial"/>
          </w:rPr>
          <w:t xml:space="preserve">25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te nie obowiązują, jeśli nawierzchnia pod znakowaniem jest wyfrezowana.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Kontrola grubości oznakowania jest istotna w przypadku, gdy Wykonawca nie udziela gwarancji lub gdy nie są wykonywane pomiary kontrolne za pomocą aparatury lub poprzez ocenę wizualną.</w:t>
      </w:r>
    </w:p>
    <w:p w:rsidR="00AA68FB" w:rsidRPr="00376408" w:rsidRDefault="00AA68FB" w:rsidP="00AA68FB">
      <w:pPr>
        <w:tabs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6.3.2.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Badania wykonania znakowania poziomego z materiału cienkowarstwowego lub grubowarstwowego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wykonując znakowanie poziome z materiału cienko- lub grubowarstwowego przeprowadza przed rozpoczęciem każdej pracy oraz w czasie jej wykonywania, co najmniej raz dziennie, lub zgodnie z ustaleniem SST, następujące badania: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a) przed rozpoczęciem pracy: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sprawdzenie oznakowania opakowań,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wizualną ocenę stanu  materiału, w zakresie jego jednorodności i widocznych wad,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pomiar wilgotności względnej powietrza,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pomiar temperatury powietrza i nawierzchni,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badanie lepkości farby, wg POD-97 [9] lub POD-2006 (po wydaniu) [10],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b) w czasie wykonywania pracy: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pomiar grubości warstwy oznakowania,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pomiar czasu schnięcia, wg POD-97 [9] lub POD-2006 (po wydaniu) [10],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wizualną ocenę równomierności rozłożenia kulek szklanych podczas objazdu w nocy,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pomiar poziomych wymiarów oznakowania, na zgodność z dokumentacją projektową i załącznikiem nr 2 do rozporządzenia Ministra Infrastruktury [7],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wizualną ocenę równomierności skropienia (rozłożenia materiału) na całej szerokości linii,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oznaczenia czasu przejezdności, wg POD-97 [9] lub POD-2006 (po wydaniu) [10].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 xml:space="preserve">Protokół z przeprowadzonych badań wraz z jedną próbką, jednoznacznie oznakowaną, na blasze (300 x 250 x </w:t>
      </w:r>
      <w:smartTag w:uri="urn:schemas-microsoft-com:office:smarttags" w:element="metricconverter">
        <w:smartTagPr>
          <w:attr w:name="ProductID" w:val="1,5 mm"/>
        </w:smartTagPr>
        <w:r w:rsidRPr="00376408">
          <w:rPr>
            <w:rFonts w:ascii="Arial" w:hAnsi="Arial" w:cs="Arial"/>
          </w:rPr>
          <w:t>1,5 mm</w:t>
        </w:r>
      </w:smartTag>
      <w:r w:rsidRPr="00376408">
        <w:rPr>
          <w:rFonts w:ascii="Arial" w:hAnsi="Arial" w:cs="Arial"/>
        </w:rPr>
        <w:t>) Wykonawca powinien przechować do czasu upływu okresu gwarancji.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odbioru i w przypadku wątpliwości dotyczących wykonania oznakowania poziomego, Inżynier może zlecić wykonanie badań: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widzialności w nocy,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widzialności w dzień,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szorstkości,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odpowiadających wymaganiom podanym w punkcie 6.3.1 i wykonanych według metod określonych w Warunkach technicznych POD-97 [9] lub POD-2006 (po wydaniu) [10]. 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 przypadku konieczności wykonywania pomiarów na otwartych do ruchu odcinkach dróg o dopuszczalnej prędkości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76408">
          <w:rPr>
            <w:rFonts w:ascii="Arial" w:hAnsi="Arial" w:cs="Arial"/>
          </w:rPr>
          <w:t>100 km/h</w:t>
        </w:r>
      </w:smartTag>
      <w:r w:rsidRPr="00376408">
        <w:rPr>
          <w:rFonts w:ascii="Arial" w:hAnsi="Arial" w:cs="Arial"/>
        </w:rPr>
        <w:t xml:space="preserve"> należy ograniczyć je do linii krawędziowych zewnętrznych w przypadku wykonywania pomiarów aparatami ręcznymi, ze względu na bezpieczeństwo wykonujących pomiary.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Pomiary współczynnika odblasku na liniach segregacyjnych i krawędziowych wewnętrznych, na otwartych do ruchu odcinkach dróg o dopuszczalnej prędkości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76408">
          <w:rPr>
            <w:rFonts w:ascii="Arial" w:hAnsi="Arial" w:cs="Arial"/>
          </w:rPr>
          <w:t>100 km/h</w:t>
        </w:r>
      </w:smartTag>
      <w:r w:rsidRPr="00376408">
        <w:rPr>
          <w:rFonts w:ascii="Arial" w:hAnsi="Arial" w:cs="Arial"/>
        </w:rPr>
        <w:t xml:space="preserve"> , a także na liniach podłużnych oznakowań z </w:t>
      </w:r>
      <w:proofErr w:type="spellStart"/>
      <w:r w:rsidRPr="00376408">
        <w:rPr>
          <w:rFonts w:ascii="Arial" w:hAnsi="Arial" w:cs="Arial"/>
        </w:rPr>
        <w:t>wygarbieniami</w:t>
      </w:r>
      <w:proofErr w:type="spellEnd"/>
      <w:r w:rsidRPr="00376408">
        <w:rPr>
          <w:rFonts w:ascii="Arial" w:hAnsi="Arial" w:cs="Arial"/>
        </w:rPr>
        <w:t>, należy wykonywać przy użyciu mobilnego reflektometru zainstalowanego na samochodzie i wykonującego pomiary w ruchu.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 przypadku wykonywania pomiarów współczynnika odblaskowości i współczynników luminancji aparatami ręcznymi częstotliwość pomiarów należy dostosować do długości badanego odcinka, zgodnie z tablicą 2. W każdym z mierzonych punktów należy wykonać po 5 odczytów współczynnika odblasku i po 3 odczyty współczynników luminancji w odległości jeden od drugiego minimum </w:t>
      </w:r>
      <w:smartTag w:uri="urn:schemas-microsoft-com:office:smarttags" w:element="metricconverter">
        <w:smartTagPr>
          <w:attr w:name="ProductID" w:val="1 m"/>
        </w:smartTagPr>
        <w:r w:rsidRPr="00376408">
          <w:rPr>
            <w:rFonts w:ascii="Arial" w:hAnsi="Arial" w:cs="Arial"/>
          </w:rPr>
          <w:t>1 m</w:t>
        </w:r>
      </w:smartTag>
      <w:r w:rsidRPr="00376408">
        <w:rPr>
          <w:rFonts w:ascii="Arial" w:hAnsi="Arial" w:cs="Arial"/>
        </w:rPr>
        <w:t>.</w:t>
      </w:r>
    </w:p>
    <w:p w:rsidR="00AA68FB" w:rsidRPr="00376408" w:rsidRDefault="00AA68FB" w:rsidP="00AA68FB">
      <w:pPr>
        <w:pStyle w:val="Tekstpodstawowywcity2"/>
        <w:spacing w:before="120"/>
        <w:ind w:left="110"/>
        <w:jc w:val="both"/>
        <w:rPr>
          <w:rFonts w:ascii="Arial" w:hAnsi="Arial" w:cs="Arial"/>
        </w:rPr>
      </w:pPr>
    </w:p>
    <w:p w:rsidR="00AA68FB" w:rsidRPr="00376408" w:rsidRDefault="00AA68FB" w:rsidP="00AA68FB">
      <w:pPr>
        <w:pStyle w:val="Tekstpodstawowywcity2"/>
        <w:spacing w:before="120"/>
        <w:ind w:left="110"/>
        <w:jc w:val="both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Tablica 2. Częstotliwość pomiarów współczynników odblaskowości i luminancji aparatami ręcznymi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84"/>
        <w:gridCol w:w="1995"/>
        <w:gridCol w:w="2126"/>
        <w:gridCol w:w="1559"/>
      </w:tblGrid>
      <w:tr w:rsidR="00AA68FB" w:rsidRPr="00DC095D" w:rsidTr="00B8596D">
        <w:tc>
          <w:tcPr>
            <w:tcW w:w="567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1995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Długość odcinka, km</w:t>
            </w:r>
          </w:p>
        </w:tc>
        <w:tc>
          <w:tcPr>
            <w:tcW w:w="2126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Częstotliwość pomiarów, co najmniej</w:t>
            </w:r>
          </w:p>
        </w:tc>
        <w:tc>
          <w:tcPr>
            <w:tcW w:w="1559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Minimalna ilość pomiarów</w:t>
            </w:r>
          </w:p>
        </w:tc>
      </w:tr>
      <w:tr w:rsidR="00AA68FB" w:rsidRPr="00DC095D" w:rsidTr="00B8596D">
        <w:tc>
          <w:tcPr>
            <w:tcW w:w="567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</w:t>
            </w:r>
          </w:p>
        </w:tc>
        <w:tc>
          <w:tcPr>
            <w:tcW w:w="1995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od 0 do 3</w:t>
            </w:r>
          </w:p>
        </w:tc>
        <w:tc>
          <w:tcPr>
            <w:tcW w:w="212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od 0,1 do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DC095D">
                <w:rPr>
                  <w:rFonts w:ascii="Arial" w:hAnsi="Arial" w:cs="Arial"/>
                </w:rPr>
                <w:t>0,5 km</w:t>
              </w:r>
            </w:smartTag>
          </w:p>
        </w:tc>
        <w:tc>
          <w:tcPr>
            <w:tcW w:w="1559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3-6</w:t>
            </w:r>
          </w:p>
        </w:tc>
      </w:tr>
      <w:tr w:rsidR="00AA68FB" w:rsidRPr="00DC095D" w:rsidTr="00B8596D">
        <w:tc>
          <w:tcPr>
            <w:tcW w:w="567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1995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od 3 – do 10</w:t>
            </w:r>
          </w:p>
        </w:tc>
        <w:tc>
          <w:tcPr>
            <w:tcW w:w="212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</w:rPr>
                <w:t>1 km</w:t>
              </w:r>
            </w:smartTag>
          </w:p>
        </w:tc>
        <w:tc>
          <w:tcPr>
            <w:tcW w:w="1559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</w:tr>
      <w:tr w:rsidR="00AA68FB" w:rsidRPr="00DC095D" w:rsidTr="00B8596D">
        <w:tc>
          <w:tcPr>
            <w:tcW w:w="567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1995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od 10 do 20 </w:t>
            </w:r>
          </w:p>
        </w:tc>
        <w:tc>
          <w:tcPr>
            <w:tcW w:w="212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DC095D">
                <w:rPr>
                  <w:rFonts w:ascii="Arial" w:hAnsi="Arial" w:cs="Arial"/>
                </w:rPr>
                <w:t>2 km</w:t>
              </w:r>
            </w:smartTag>
          </w:p>
        </w:tc>
        <w:tc>
          <w:tcPr>
            <w:tcW w:w="1559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</w:tr>
      <w:tr w:rsidR="00AA68FB" w:rsidRPr="00DC095D" w:rsidTr="00B8596D">
        <w:tc>
          <w:tcPr>
            <w:tcW w:w="567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</w:t>
            </w:r>
          </w:p>
        </w:tc>
        <w:tc>
          <w:tcPr>
            <w:tcW w:w="1995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od 20 do 30    </w:t>
            </w:r>
          </w:p>
        </w:tc>
        <w:tc>
          <w:tcPr>
            <w:tcW w:w="212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3 km"/>
              </w:smartTagPr>
              <w:r w:rsidRPr="00DC095D">
                <w:rPr>
                  <w:rFonts w:ascii="Arial" w:hAnsi="Arial" w:cs="Arial"/>
                </w:rPr>
                <w:t>3 km</w:t>
              </w:r>
            </w:smartTag>
          </w:p>
        </w:tc>
        <w:tc>
          <w:tcPr>
            <w:tcW w:w="1559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</w:tr>
      <w:tr w:rsidR="00AA68FB" w:rsidRPr="00DC095D" w:rsidTr="00B8596D">
        <w:tc>
          <w:tcPr>
            <w:tcW w:w="567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</w:t>
            </w:r>
          </w:p>
        </w:tc>
        <w:tc>
          <w:tcPr>
            <w:tcW w:w="1995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powyżej 30</w:t>
            </w:r>
          </w:p>
        </w:tc>
        <w:tc>
          <w:tcPr>
            <w:tcW w:w="212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4 km"/>
              </w:smartTagPr>
              <w:r w:rsidRPr="00DC095D">
                <w:rPr>
                  <w:rFonts w:ascii="Arial" w:hAnsi="Arial" w:cs="Arial"/>
                </w:rPr>
                <w:t>4 km</w:t>
              </w:r>
            </w:smartTag>
          </w:p>
        </w:tc>
        <w:tc>
          <w:tcPr>
            <w:tcW w:w="1559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&gt; 11</w:t>
            </w:r>
          </w:p>
        </w:tc>
      </w:tr>
    </w:tbl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  <w:sz w:val="20"/>
          <w:szCs w:val="20"/>
        </w:rPr>
      </w:pP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Wartość wskaźnika szorstkości zaleca się oznaczyć w 2 – 4 punktach oznakowania odcinka.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6.3.3. </w:t>
      </w:r>
      <w:r w:rsidRPr="00376408">
        <w:rPr>
          <w:rFonts w:ascii="Arial" w:hAnsi="Arial" w:cs="Arial"/>
        </w:rPr>
        <w:t>Badania wykonania oznakowania poziomego z zastosowaniem punktowych elementów odblaskowych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Wykonawca wykonując oznakowanie z prefabrykowanych elementów odblaskowych przeprowadza, co najmniej raz dziennie lub zgodnie z ustaleniem SST, następujące badania: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sprawdzenie oznakowania opakowań,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sprawdzenie rodzaju stosowanego kleju lub innych elementów mocujących, zgodnie z zaleceniami SST,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wizualną ocenę stanu elementów, w zakresie ich kompletności i braku wad,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temperatury powietrza i nawierzchni,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pomiaru czasu oddania do ruchu,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wizualną ocenę liniowości i kierunkowości przyklejenia elementów,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równomierności przyklejenia elementów na całej długości linii,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zgodności wykonania oznakowania z dokumentacja projektową i załącznikiem nr 2 do rozporządzenia Ministra Infrastruktury z 3 lipca 2003 r. [7].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Protokół z przeprowadzonych badań wraz z próbkami przyklejonych elementów, w liczbie określonej w SST, Wykonawca przechowuje do czasu upływu okresu gwarancji.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wątpliwości dotyczących wykonania oznakowania poziomego Inżynier może zlecić wykonanie badań widzialności w nocy, na próbkach zdjętych z nawierzchni i dostarczonych do laboratorium, na zgodność z wymaganiami podanymi w SST lub aprobacie technicznej, wykonanych według metod określonych w PN-EN 1463-1[5] lub w Warunkach technicznych POD-97 [9] lub POD-2006 (po wydaniu) [10]. Jeśli wyniki tych badań wykażą wadliwość wykonanego oznakowania to koszt badań ponosi Wykonawca, w przypadku przeciwnym - Zamawiający.</w:t>
      </w:r>
    </w:p>
    <w:p w:rsidR="00AA68FB" w:rsidRPr="00376408" w:rsidRDefault="00AA68FB" w:rsidP="00AA68FB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6.3.4. </w:t>
      </w:r>
      <w:r w:rsidRPr="00376408">
        <w:rPr>
          <w:rFonts w:ascii="Arial" w:hAnsi="Arial" w:cs="Arial"/>
        </w:rPr>
        <w:t>Zbiorcze zestawienie wymagań dla materiałów i oznakowań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 tablicy 3 podano zbiorcze zestawienie dla materiałów. W tablicy 4 podano zbiorcze zestawienie dla oznakowań na autostradach, drogach ekspresowych oraz na drogach o prędkości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76408">
          <w:rPr>
            <w:rFonts w:ascii="Arial" w:hAnsi="Arial" w:cs="Arial"/>
          </w:rPr>
          <w:t>100 km/h</w:t>
        </w:r>
      </w:smartTag>
      <w:r w:rsidRPr="00376408">
        <w:rPr>
          <w:rFonts w:ascii="Arial" w:hAnsi="Arial" w:cs="Arial"/>
        </w:rPr>
        <w:t xml:space="preserve"> lub o natężeniu ruchu &gt; 2 500 pojazdów rzeczywistych na dobę na pas. W tablicy 5 podano zbiorcze zestawienie dla oznakowań na pozostałych drogach.</w:t>
      </w:r>
    </w:p>
    <w:p w:rsidR="00AA68FB" w:rsidRPr="00376408" w:rsidRDefault="00AA68FB" w:rsidP="00AA68FB">
      <w:pPr>
        <w:pStyle w:val="Nagwek4"/>
        <w:spacing w:before="120" w:after="120"/>
        <w:ind w:left="110"/>
        <w:jc w:val="both"/>
        <w:rPr>
          <w:rFonts w:ascii="Arial" w:hAnsi="Arial" w:cs="Arial"/>
          <w:b w:val="0"/>
          <w:bCs w:val="0"/>
        </w:rPr>
      </w:pPr>
    </w:p>
    <w:p w:rsidR="00AA68FB" w:rsidRPr="00376408" w:rsidRDefault="00AA68FB" w:rsidP="00AA68FB">
      <w:pPr>
        <w:pStyle w:val="Nagwek4"/>
        <w:spacing w:before="120" w:after="120"/>
        <w:ind w:left="110"/>
        <w:jc w:val="both"/>
        <w:rPr>
          <w:rFonts w:ascii="Arial" w:hAnsi="Arial" w:cs="Arial"/>
          <w:b w:val="0"/>
          <w:bCs w:val="0"/>
        </w:rPr>
      </w:pPr>
      <w:r w:rsidRPr="00376408">
        <w:rPr>
          <w:rFonts w:ascii="Arial" w:hAnsi="Arial" w:cs="Arial"/>
          <w:b w:val="0"/>
          <w:bCs w:val="0"/>
        </w:rPr>
        <w:t>Tablica 3.   Zbiorcze zestawienie wymagań dla materiałów</w:t>
      </w:r>
    </w:p>
    <w:tbl>
      <w:tblPr>
        <w:tblW w:w="7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84"/>
        <w:gridCol w:w="3685"/>
        <w:gridCol w:w="1345"/>
        <w:gridCol w:w="2196"/>
      </w:tblGrid>
      <w:tr w:rsidR="00AA68FB" w:rsidRPr="00DC095D" w:rsidTr="00B8596D">
        <w:trPr>
          <w:tblHeader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Właściwość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Jednostka</w:t>
            </w:r>
          </w:p>
        </w:tc>
        <w:tc>
          <w:tcPr>
            <w:tcW w:w="21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Wymagania</w:t>
            </w:r>
          </w:p>
        </w:tc>
      </w:tr>
      <w:tr w:rsidR="00AA68FB" w:rsidRPr="00DC095D" w:rsidTr="00B8596D">
        <w:tc>
          <w:tcPr>
            <w:tcW w:w="496" w:type="dxa"/>
            <w:noWrap/>
          </w:tcPr>
          <w:p w:rsidR="00AA68FB" w:rsidRPr="00DC095D" w:rsidRDefault="00AA68FB" w:rsidP="00B8596D">
            <w:pPr>
              <w:numPr>
                <w:ilvl w:val="0"/>
                <w:numId w:val="4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Zawartość składników lotnych w materiałach do znakowania</w:t>
            </w:r>
          </w:p>
          <w:p w:rsidR="00AA68FB" w:rsidRPr="00DC095D" w:rsidRDefault="00AA68FB" w:rsidP="00B8596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rozpuszczalników organicznych</w:t>
            </w:r>
          </w:p>
          <w:p w:rsidR="00AA68FB" w:rsidRPr="00DC095D" w:rsidRDefault="00AA68FB" w:rsidP="00B8596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rozpuszczalników aromatycznych</w:t>
            </w:r>
          </w:p>
          <w:p w:rsidR="00AA68FB" w:rsidRPr="00DC095D" w:rsidRDefault="00AA68FB" w:rsidP="00B8596D">
            <w:pPr>
              <w:ind w:left="110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benzenu i rozpuszczalników chlorowanych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 (m/m)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 (m/m)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 (m/m)</w:t>
            </w:r>
          </w:p>
        </w:tc>
        <w:tc>
          <w:tcPr>
            <w:tcW w:w="219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25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8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</w:t>
            </w:r>
          </w:p>
        </w:tc>
      </w:tr>
      <w:tr w:rsidR="00AA68FB" w:rsidRPr="00DC095D" w:rsidTr="00B8596D">
        <w:tc>
          <w:tcPr>
            <w:tcW w:w="496" w:type="dxa"/>
            <w:noWrap/>
          </w:tcPr>
          <w:p w:rsidR="00AA68FB" w:rsidRPr="00DC095D" w:rsidRDefault="00AA68FB" w:rsidP="00B8596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12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Właściwości kulek szklanych </w:t>
            </w:r>
          </w:p>
          <w:p w:rsidR="00AA68FB" w:rsidRPr="00376408" w:rsidRDefault="00AA68FB" w:rsidP="00B8596D">
            <w:pPr>
              <w:pStyle w:val="Tekstprzypisudolnego"/>
              <w:numPr>
                <w:ilvl w:val="0"/>
                <w:numId w:val="6"/>
              </w:numPr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współczynnik załamania światła</w:t>
            </w:r>
          </w:p>
          <w:p w:rsidR="00AA68FB" w:rsidRPr="00DC095D" w:rsidRDefault="00AA68FB" w:rsidP="00B8596D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zawartość kulek z defektami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</w:t>
            </w:r>
          </w:p>
        </w:tc>
        <w:tc>
          <w:tcPr>
            <w:tcW w:w="2196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1,5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20</w:t>
            </w:r>
          </w:p>
        </w:tc>
      </w:tr>
      <w:tr w:rsidR="00AA68FB" w:rsidRPr="00DC095D" w:rsidTr="00B8596D">
        <w:tc>
          <w:tcPr>
            <w:tcW w:w="496" w:type="dxa"/>
            <w:noWrap/>
          </w:tcPr>
          <w:p w:rsidR="00AA68FB" w:rsidRPr="00376408" w:rsidRDefault="00AA68FB" w:rsidP="00B8596D">
            <w:pPr>
              <w:pStyle w:val="Stopka"/>
              <w:numPr>
                <w:ilvl w:val="0"/>
                <w:numId w:val="4"/>
              </w:numPr>
              <w:tabs>
                <w:tab w:val="left" w:pos="709"/>
              </w:tabs>
              <w:spacing w:after="12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Okres stałości właściwości materiałów do znakowania przy </w:t>
            </w:r>
            <w:r w:rsidRPr="00DC095D">
              <w:rPr>
                <w:rFonts w:ascii="Arial" w:hAnsi="Arial" w:cs="Arial"/>
              </w:rPr>
              <w:lastRenderedPageBreak/>
              <w:t>składowaniu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miesiące</w:t>
            </w:r>
          </w:p>
        </w:tc>
        <w:tc>
          <w:tcPr>
            <w:tcW w:w="21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6</w:t>
            </w:r>
          </w:p>
        </w:tc>
      </w:tr>
    </w:tbl>
    <w:p w:rsidR="00AA68FB" w:rsidRPr="00376408" w:rsidRDefault="00AA68FB" w:rsidP="00AA68FB">
      <w:pPr>
        <w:spacing w:before="120" w:after="120"/>
        <w:ind w:left="110"/>
        <w:rPr>
          <w:rFonts w:ascii="Arial" w:hAnsi="Arial" w:cs="Arial"/>
          <w:sz w:val="20"/>
          <w:szCs w:val="20"/>
        </w:rPr>
      </w:pPr>
    </w:p>
    <w:p w:rsidR="00AA68FB" w:rsidRPr="00376408" w:rsidRDefault="00AA68FB" w:rsidP="00AA68FB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Tablica 4. </w:t>
      </w:r>
      <w:r w:rsidRPr="00376408">
        <w:rPr>
          <w:rFonts w:ascii="Arial" w:hAnsi="Arial" w:cs="Arial"/>
        </w:rPr>
        <w:tab/>
        <w:t xml:space="preserve">Zbiorcze zestawienie wymagań dla oznakowań na autostradach, drogach ekspresowych oraz na drogach o prędkości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 w:rsidRPr="00376408">
          <w:rPr>
            <w:rFonts w:ascii="Arial" w:hAnsi="Arial" w:cs="Arial"/>
          </w:rPr>
          <w:t>100 km/h</w:t>
        </w:r>
      </w:smartTag>
      <w:r w:rsidRPr="00376408">
        <w:rPr>
          <w:rFonts w:ascii="Arial" w:hAnsi="Arial" w:cs="Arial"/>
        </w:rPr>
        <w:t xml:space="preserve"> lub o natężeniu ruchu &gt; 2 500 pojazdów rzeczywistych na dobę na pas</w:t>
      </w:r>
    </w:p>
    <w:tbl>
      <w:tblPr>
        <w:tblW w:w="75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84"/>
        <w:gridCol w:w="3685"/>
        <w:gridCol w:w="1345"/>
        <w:gridCol w:w="1518"/>
        <w:gridCol w:w="924"/>
      </w:tblGrid>
      <w:tr w:rsidR="00AA68FB" w:rsidRPr="00DC095D" w:rsidTr="00B8596D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Właściwość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Jednostka 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Wymagania</w:t>
            </w: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Klasa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nowego (w ciągu 14 - 30 dni po wykonaniu) w stanie suchym barwy:    </w:t>
            </w:r>
          </w:p>
          <w:p w:rsidR="00AA68FB" w:rsidRPr="00DC095D" w:rsidRDefault="00AA68FB" w:rsidP="00B8596D">
            <w:pPr>
              <w:numPr>
                <w:ilvl w:val="1"/>
                <w:numId w:val="7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</w:t>
            </w:r>
          </w:p>
          <w:p w:rsidR="00AA68FB" w:rsidRPr="00DC095D" w:rsidRDefault="00AA68FB" w:rsidP="00B8596D">
            <w:pPr>
              <w:numPr>
                <w:ilvl w:val="1"/>
                <w:numId w:val="7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 tymczasowej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250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R4/5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R3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suchego w okresie od 1 do 6 miesięcy po wykonaniu, barwy: </w:t>
            </w:r>
          </w:p>
          <w:p w:rsidR="00AA68FB" w:rsidRPr="00DC095D" w:rsidRDefault="00AA68FB" w:rsidP="00B8596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</w:t>
            </w:r>
          </w:p>
          <w:p w:rsidR="00AA68FB" w:rsidRPr="00DC095D" w:rsidRDefault="00AA68FB" w:rsidP="00B8596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200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R4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suchego od 7 miesiąca po wykonaniu barwy białej</w:t>
            </w:r>
          </w:p>
        </w:tc>
        <w:tc>
          <w:tcPr>
            <w:tcW w:w="113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92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R3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grubowarstwowego strukturalnego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wilgotnego od 14 do 30 dnia po wykonaniu, barwy białej</w:t>
            </w:r>
          </w:p>
        </w:tc>
        <w:tc>
          <w:tcPr>
            <w:tcW w:w="113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50</w:t>
            </w:r>
          </w:p>
        </w:tc>
        <w:tc>
          <w:tcPr>
            <w:tcW w:w="92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RW3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grubowarstwowego strukturalnego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wilgotnego po 30 dniu od wykonania, barwy białej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35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RW2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oznakowa-nia</w:t>
            </w:r>
            <w:proofErr w:type="spellEnd"/>
            <w:r w:rsidRPr="00DC095D">
              <w:rPr>
                <w:rFonts w:ascii="Arial" w:hAnsi="Arial" w:cs="Arial"/>
              </w:rPr>
              <w:t xml:space="preserve"> nowego (od 14 do 30 dnia po wykonaniu)  barwy:</w:t>
            </w:r>
          </w:p>
          <w:p w:rsidR="00AA68FB" w:rsidRPr="00DC095D" w:rsidRDefault="00AA68FB" w:rsidP="00B8596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asfaltowej</w:t>
            </w:r>
          </w:p>
          <w:p w:rsidR="00AA68FB" w:rsidRPr="00DC095D" w:rsidRDefault="00AA68FB" w:rsidP="00B8596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betonowej</w:t>
            </w:r>
          </w:p>
          <w:p w:rsidR="00AA68FB" w:rsidRPr="00DC095D" w:rsidRDefault="00AA68FB" w:rsidP="00B8596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żółtej 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0,40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0,50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0,30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B3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B4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oznakowa-nia</w:t>
            </w:r>
            <w:proofErr w:type="spellEnd"/>
            <w:r w:rsidRPr="00DC095D">
              <w:rPr>
                <w:rFonts w:ascii="Arial" w:hAnsi="Arial" w:cs="Arial"/>
              </w:rPr>
              <w:t xml:space="preserve"> eksploatowanego (po 30 dniu od wykonania) barwy: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białej na nawierzchni asfaltowej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białej na nawierzchni betonowej</w:t>
            </w:r>
          </w:p>
          <w:p w:rsidR="00AA68FB" w:rsidRPr="00376408" w:rsidRDefault="00AA68FB" w:rsidP="00B8596D">
            <w:pPr>
              <w:pStyle w:val="Stopka"/>
              <w:numPr>
                <w:ilvl w:val="12"/>
                <w:numId w:val="0"/>
              </w:numPr>
              <w:tabs>
                <w:tab w:val="left" w:pos="709"/>
              </w:tabs>
              <w:ind w:left="11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- żółtej 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0,30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0,40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0,20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B2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B3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B1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w świetle rozproszonym </w:t>
            </w:r>
            <w:proofErr w:type="spellStart"/>
            <w:r w:rsidRPr="00DC095D">
              <w:rPr>
                <w:rFonts w:ascii="Arial" w:hAnsi="Arial" w:cs="Arial"/>
              </w:rPr>
              <w:t>Qd</w:t>
            </w:r>
            <w:proofErr w:type="spellEnd"/>
            <w:r w:rsidRPr="00DC095D">
              <w:rPr>
                <w:rFonts w:ascii="Arial" w:hAnsi="Arial" w:cs="Arial"/>
              </w:rPr>
              <w:t xml:space="preserve"> (alternatywnie do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>) dla oznakowania nowego w ciągu od 14 do 30  dnia po wykonaniu, barwy:</w:t>
            </w:r>
          </w:p>
          <w:p w:rsidR="00AA68FB" w:rsidRPr="00DC095D" w:rsidRDefault="00AA68FB" w:rsidP="00B8596D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asfaltowej</w:t>
            </w:r>
          </w:p>
          <w:p w:rsidR="00AA68FB" w:rsidRPr="00DC095D" w:rsidRDefault="00AA68FB" w:rsidP="00B8596D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betonowej</w:t>
            </w:r>
          </w:p>
          <w:p w:rsidR="00AA68FB" w:rsidRPr="00DC095D" w:rsidRDefault="00AA68FB" w:rsidP="00B8596D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  <w:lang w:val="en-US"/>
              </w:rPr>
              <w:t xml:space="preserve"> 130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  <w:lang w:val="en-US"/>
              </w:rPr>
              <w:t xml:space="preserve"> 160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  <w:lang w:val="en-US"/>
              </w:rPr>
              <w:t xml:space="preserve"> 100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Q3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Q4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w świetle rozproszonym </w:t>
            </w:r>
            <w:proofErr w:type="spellStart"/>
            <w:r w:rsidRPr="00DC095D">
              <w:rPr>
                <w:rFonts w:ascii="Arial" w:hAnsi="Arial" w:cs="Arial"/>
              </w:rPr>
              <w:t>Qd</w:t>
            </w:r>
            <w:proofErr w:type="spellEnd"/>
            <w:r w:rsidRPr="00DC095D">
              <w:rPr>
                <w:rFonts w:ascii="Arial" w:hAnsi="Arial" w:cs="Arial"/>
              </w:rPr>
              <w:t xml:space="preserve"> (alternatywnie do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>) dla oznakowania eksploatowanego w ciągu całego okresu eksploatacji po 30 dniu od wykonania,  barwy:</w:t>
            </w:r>
          </w:p>
          <w:p w:rsidR="00AA68FB" w:rsidRPr="00DC095D" w:rsidRDefault="00AA68FB" w:rsidP="00B8596D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asfaltowej</w:t>
            </w:r>
          </w:p>
          <w:p w:rsidR="00AA68FB" w:rsidRPr="00DC095D" w:rsidRDefault="00AA68FB" w:rsidP="00B8596D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betonowej</w:t>
            </w:r>
          </w:p>
          <w:p w:rsidR="00AA68FB" w:rsidRPr="00DC095D" w:rsidRDefault="00AA68FB" w:rsidP="00B8596D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  <w:lang w:val="en-US"/>
              </w:rPr>
              <w:t xml:space="preserve"> 100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  <w:lang w:val="en-US"/>
              </w:rPr>
              <w:t xml:space="preserve"> 130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  <w:lang w:val="en-US"/>
              </w:rPr>
              <w:t xml:space="preserve"> 80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Q2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Q3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Q1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Szorstkość oznakowania eksploatowanego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wskaźnik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SRT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45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S1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Trwałość oznakowania </w:t>
            </w:r>
            <w:proofErr w:type="spellStart"/>
            <w:r w:rsidRPr="00DC095D">
              <w:rPr>
                <w:rFonts w:ascii="Arial" w:hAnsi="Arial" w:cs="Arial"/>
              </w:rPr>
              <w:t>cienkowarstwo-wego</w:t>
            </w:r>
            <w:proofErr w:type="spellEnd"/>
            <w:r w:rsidRPr="00DC095D">
              <w:rPr>
                <w:rFonts w:ascii="Arial" w:hAnsi="Arial" w:cs="Arial"/>
              </w:rPr>
              <w:t xml:space="preserve"> po 12 miesiącach: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skala LCPC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6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12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Czas schnięcia materiału na nawierzchni</w:t>
            </w:r>
          </w:p>
          <w:p w:rsidR="00AA68FB" w:rsidRPr="00DC095D" w:rsidRDefault="00AA68FB" w:rsidP="00B8596D">
            <w:pPr>
              <w:numPr>
                <w:ilvl w:val="0"/>
                <w:numId w:val="12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 dzień</w:t>
            </w:r>
          </w:p>
          <w:p w:rsidR="00AA68FB" w:rsidRPr="00DC095D" w:rsidRDefault="00AA68FB" w:rsidP="00B8596D">
            <w:pPr>
              <w:numPr>
                <w:ilvl w:val="0"/>
                <w:numId w:val="12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 nocy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h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h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1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</w:tr>
    </w:tbl>
    <w:p w:rsidR="00AA68FB" w:rsidRPr="00376408" w:rsidRDefault="00AA68FB" w:rsidP="00AA68FB">
      <w:pPr>
        <w:spacing w:before="120" w:after="120"/>
        <w:ind w:left="110"/>
        <w:rPr>
          <w:rFonts w:ascii="Arial" w:hAnsi="Arial" w:cs="Arial"/>
          <w:sz w:val="20"/>
          <w:szCs w:val="20"/>
        </w:rPr>
      </w:pPr>
    </w:p>
    <w:p w:rsidR="00AA68FB" w:rsidRPr="00376408" w:rsidRDefault="00AA68FB" w:rsidP="00AA68FB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5.  Zbiorcze zestawienie wymagań dla oznakowań na pozostałych drogach nie wymienionych w tablicy 4</w:t>
      </w:r>
    </w:p>
    <w:tbl>
      <w:tblPr>
        <w:tblW w:w="75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84"/>
        <w:gridCol w:w="3685"/>
        <w:gridCol w:w="1345"/>
        <w:gridCol w:w="1518"/>
        <w:gridCol w:w="924"/>
      </w:tblGrid>
      <w:tr w:rsidR="00AA68FB" w:rsidRPr="00DC095D" w:rsidTr="00B8596D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Właściwość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Jednostka 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Wymagania</w:t>
            </w: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Klasa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nowego (w ciągu 14 - 30 dni po wykonaniu) w stanie suchym barwy:    </w:t>
            </w:r>
          </w:p>
          <w:p w:rsidR="00AA68FB" w:rsidRPr="00DC095D" w:rsidRDefault="00AA68FB" w:rsidP="00B8596D">
            <w:pPr>
              <w:numPr>
                <w:ilvl w:val="1"/>
                <w:numId w:val="13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białej,</w:t>
            </w:r>
          </w:p>
          <w:p w:rsidR="00AA68FB" w:rsidRPr="00DC095D" w:rsidRDefault="00AA68FB" w:rsidP="00B8596D">
            <w:pPr>
              <w:numPr>
                <w:ilvl w:val="1"/>
                <w:numId w:val="13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 tymczasowej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200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R4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R3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eksploatowanego od 2 do 6 miesięcy po wykonaniu, barwy: </w:t>
            </w:r>
          </w:p>
          <w:p w:rsidR="00AA68FB" w:rsidRPr="00DC095D" w:rsidRDefault="00AA68FB" w:rsidP="00B8596D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białej,</w:t>
            </w:r>
          </w:p>
          <w:p w:rsidR="00AA68FB" w:rsidRPr="00DC095D" w:rsidRDefault="00AA68FB" w:rsidP="00B8596D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150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R3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suchego od 7 miesiąca po wykonaniu barwy białej</w:t>
            </w:r>
          </w:p>
        </w:tc>
        <w:tc>
          <w:tcPr>
            <w:tcW w:w="113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92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grubowarstwowego strukturalnego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wilgotnego od 14 do 30 dnia po wykonaniu, barwy białej</w:t>
            </w:r>
          </w:p>
        </w:tc>
        <w:tc>
          <w:tcPr>
            <w:tcW w:w="113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50</w:t>
            </w:r>
          </w:p>
        </w:tc>
        <w:tc>
          <w:tcPr>
            <w:tcW w:w="92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RW3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Współczynnik odblasku R</w:t>
            </w:r>
            <w:r w:rsidRPr="00DC095D">
              <w:rPr>
                <w:rFonts w:ascii="Arial" w:hAnsi="Arial" w:cs="Arial"/>
                <w:vertAlign w:val="subscript"/>
              </w:rPr>
              <w:t>L</w:t>
            </w:r>
            <w:r w:rsidRPr="00DC095D">
              <w:rPr>
                <w:rFonts w:ascii="Arial" w:hAnsi="Arial" w:cs="Arial"/>
              </w:rPr>
              <w:t xml:space="preserve"> dla grubowarstwowego strukturalnego </w:t>
            </w:r>
            <w:proofErr w:type="spellStart"/>
            <w:r w:rsidRPr="00DC095D">
              <w:rPr>
                <w:rFonts w:ascii="Arial" w:hAnsi="Arial" w:cs="Arial"/>
              </w:rPr>
              <w:t>oznako-wania</w:t>
            </w:r>
            <w:proofErr w:type="spellEnd"/>
            <w:r w:rsidRPr="00DC095D">
              <w:rPr>
                <w:rFonts w:ascii="Arial" w:hAnsi="Arial" w:cs="Arial"/>
              </w:rPr>
              <w:t xml:space="preserve"> wilgotnego po 30 dniu od wykonania, barwy białej</w:t>
            </w:r>
          </w:p>
        </w:tc>
        <w:tc>
          <w:tcPr>
            <w:tcW w:w="113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35</w:t>
            </w:r>
          </w:p>
        </w:tc>
        <w:tc>
          <w:tcPr>
            <w:tcW w:w="924" w:type="dxa"/>
            <w:noWrap/>
            <w:vAlign w:val="center"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RW2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oznakowa-nia</w:t>
            </w:r>
            <w:proofErr w:type="spellEnd"/>
            <w:r w:rsidRPr="00DC095D">
              <w:rPr>
                <w:rFonts w:ascii="Arial" w:hAnsi="Arial" w:cs="Arial"/>
              </w:rPr>
              <w:t xml:space="preserve"> nowego (od 14 do 30 dnia po wykonaniu)  barwy:</w:t>
            </w:r>
          </w:p>
          <w:p w:rsidR="00AA68FB" w:rsidRPr="00DC095D" w:rsidRDefault="00AA68FB" w:rsidP="00B8596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asfaltowej,</w:t>
            </w:r>
          </w:p>
          <w:p w:rsidR="00AA68FB" w:rsidRPr="00DC095D" w:rsidRDefault="00AA68FB" w:rsidP="00B8596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betonowej,</w:t>
            </w:r>
          </w:p>
          <w:p w:rsidR="00AA68FB" w:rsidRPr="00DC095D" w:rsidRDefault="00AA68FB" w:rsidP="00B8596D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0,40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0,50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0,30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B3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B4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 xml:space="preserve"> dla </w:t>
            </w:r>
            <w:proofErr w:type="spellStart"/>
            <w:r w:rsidRPr="00DC095D">
              <w:rPr>
                <w:rFonts w:ascii="Arial" w:hAnsi="Arial" w:cs="Arial"/>
              </w:rPr>
              <w:t>oznakowa-nia</w:t>
            </w:r>
            <w:proofErr w:type="spellEnd"/>
            <w:r w:rsidRPr="00DC095D">
              <w:rPr>
                <w:rFonts w:ascii="Arial" w:hAnsi="Arial" w:cs="Arial"/>
              </w:rPr>
              <w:t xml:space="preserve"> eksploatowanego (po 30 dniu od wykonania) barwy: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białej</w:t>
            </w:r>
          </w:p>
          <w:p w:rsidR="00AA68FB" w:rsidRPr="00376408" w:rsidRDefault="00AA68FB" w:rsidP="00B8596D">
            <w:pPr>
              <w:pStyle w:val="Stopka"/>
              <w:numPr>
                <w:ilvl w:val="12"/>
                <w:numId w:val="0"/>
              </w:numPr>
              <w:tabs>
                <w:tab w:val="left" w:pos="709"/>
              </w:tabs>
              <w:ind w:left="11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- 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0,30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0,20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B2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B1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w świetle rozproszonym </w:t>
            </w:r>
            <w:proofErr w:type="spellStart"/>
            <w:r w:rsidRPr="00DC095D">
              <w:rPr>
                <w:rFonts w:ascii="Arial" w:hAnsi="Arial" w:cs="Arial"/>
              </w:rPr>
              <w:t>Qd</w:t>
            </w:r>
            <w:proofErr w:type="spellEnd"/>
            <w:r w:rsidRPr="00DC095D">
              <w:rPr>
                <w:rFonts w:ascii="Arial" w:hAnsi="Arial" w:cs="Arial"/>
              </w:rPr>
              <w:t xml:space="preserve"> (alternatywnie do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>) dla oznakowania nowego w ciągu od 14 do 30  dnia po wykonaniu, barwy:</w:t>
            </w:r>
          </w:p>
          <w:p w:rsidR="00AA68FB" w:rsidRPr="00DC095D" w:rsidRDefault="00AA68FB" w:rsidP="00B8596D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asfaltowej</w:t>
            </w:r>
          </w:p>
          <w:p w:rsidR="00AA68FB" w:rsidRPr="00DC095D" w:rsidRDefault="00AA68FB" w:rsidP="00B8596D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betonowej</w:t>
            </w:r>
          </w:p>
          <w:p w:rsidR="00AA68FB" w:rsidRPr="00DC095D" w:rsidRDefault="00AA68FB" w:rsidP="00B8596D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130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160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Q3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Q4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Q2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Współczynnik luminancji w świetle rozproszonym </w:t>
            </w:r>
            <w:proofErr w:type="spellStart"/>
            <w:r w:rsidRPr="00DC095D">
              <w:rPr>
                <w:rFonts w:ascii="Arial" w:hAnsi="Arial" w:cs="Arial"/>
              </w:rPr>
              <w:t>Qd</w:t>
            </w:r>
            <w:proofErr w:type="spellEnd"/>
            <w:r w:rsidRPr="00DC095D">
              <w:rPr>
                <w:rFonts w:ascii="Arial" w:hAnsi="Arial" w:cs="Arial"/>
              </w:rPr>
              <w:t xml:space="preserve"> (alternatywnie do </w:t>
            </w:r>
            <w:r w:rsidRPr="00DC095D">
              <w:rPr>
                <w:rFonts w:ascii="Arial" w:hAnsi="Arial" w:cs="Arial"/>
              </w:rPr>
              <w:sym w:font="Symbol" w:char="F062"/>
            </w:r>
            <w:r w:rsidRPr="00DC095D">
              <w:rPr>
                <w:rFonts w:ascii="Arial" w:hAnsi="Arial" w:cs="Arial"/>
              </w:rPr>
              <w:t>) dla oznakowania eksploatowanego w ciągu całego okresu eksploatacji po 30 dniu od wykonania,  barwy:</w:t>
            </w:r>
          </w:p>
          <w:p w:rsidR="00AA68FB" w:rsidRPr="00DC095D" w:rsidRDefault="00AA68FB" w:rsidP="00B8596D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asfaltowej</w:t>
            </w:r>
          </w:p>
          <w:p w:rsidR="00AA68FB" w:rsidRPr="00DC095D" w:rsidRDefault="00AA68FB" w:rsidP="00B8596D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białej na nawierzchni betonowej</w:t>
            </w:r>
          </w:p>
          <w:p w:rsidR="00AA68FB" w:rsidRPr="00DC095D" w:rsidRDefault="00AA68FB" w:rsidP="00B8596D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żółtej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vertAlign w:val="superscript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mcd m</w:t>
            </w:r>
            <w:r w:rsidRPr="00DC095D">
              <w:rPr>
                <w:rFonts w:ascii="Arial" w:hAnsi="Arial" w:cs="Arial"/>
                <w:vertAlign w:val="superscript"/>
              </w:rPr>
              <w:t>-2</w:t>
            </w:r>
            <w:r w:rsidRPr="00DC095D">
              <w:rPr>
                <w:rFonts w:ascii="Arial" w:hAnsi="Arial" w:cs="Arial"/>
              </w:rPr>
              <w:t xml:space="preserve"> lx</w:t>
            </w:r>
            <w:r w:rsidRPr="00DC095D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100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130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80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Q2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Q3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Q1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Szorstkość oznakowania eksploatowanego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wskaźnik</w:t>
            </w: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SRT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45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S1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Trwałość oznakowania </w:t>
            </w:r>
            <w:proofErr w:type="spellStart"/>
            <w:r w:rsidRPr="00DC095D">
              <w:rPr>
                <w:rFonts w:ascii="Arial" w:hAnsi="Arial" w:cs="Arial"/>
              </w:rPr>
              <w:t>cienkowarstwo-wego</w:t>
            </w:r>
            <w:proofErr w:type="spellEnd"/>
            <w:r w:rsidRPr="00DC095D">
              <w:rPr>
                <w:rFonts w:ascii="Arial" w:hAnsi="Arial" w:cs="Arial"/>
              </w:rPr>
              <w:t xml:space="preserve"> po 12 miesiącach: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skala LCPC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6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</w:tr>
      <w:tr w:rsidR="00AA68FB" w:rsidRPr="00DC095D" w:rsidTr="00B8596D">
        <w:trPr>
          <w:cantSplit/>
        </w:trPr>
        <w:tc>
          <w:tcPr>
            <w:tcW w:w="496" w:type="dxa"/>
            <w:noWrap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12</w:t>
            </w:r>
          </w:p>
        </w:tc>
        <w:tc>
          <w:tcPr>
            <w:tcW w:w="3685" w:type="dxa"/>
            <w:noWrap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Czas schnięcia materiału na nawierzchni</w:t>
            </w:r>
          </w:p>
          <w:p w:rsidR="00AA68FB" w:rsidRPr="00DC095D" w:rsidRDefault="00AA68FB" w:rsidP="00B8596D">
            <w:pPr>
              <w:numPr>
                <w:ilvl w:val="0"/>
                <w:numId w:val="12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 dzień</w:t>
            </w:r>
          </w:p>
          <w:p w:rsidR="00AA68FB" w:rsidRPr="00DC095D" w:rsidRDefault="00AA68FB" w:rsidP="00B8596D">
            <w:pPr>
              <w:numPr>
                <w:ilvl w:val="0"/>
                <w:numId w:val="12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110" w:firstLine="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 nocy</w:t>
            </w:r>
          </w:p>
        </w:tc>
        <w:tc>
          <w:tcPr>
            <w:tcW w:w="113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h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h</w:t>
            </w:r>
          </w:p>
        </w:tc>
        <w:tc>
          <w:tcPr>
            <w:tcW w:w="1276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1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924" w:type="dxa"/>
            <w:noWrap/>
          </w:tcPr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A68FB" w:rsidRPr="00DC095D" w:rsidRDefault="00AA68FB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</w:t>
            </w:r>
          </w:p>
        </w:tc>
      </w:tr>
    </w:tbl>
    <w:p w:rsidR="00AA68FB" w:rsidRPr="00376408" w:rsidRDefault="00AA68FB" w:rsidP="00AA68FB">
      <w:pPr>
        <w:spacing w:before="120"/>
        <w:ind w:left="110"/>
        <w:rPr>
          <w:rFonts w:ascii="Arial" w:hAnsi="Arial" w:cs="Arial"/>
          <w:sz w:val="20"/>
          <w:szCs w:val="20"/>
        </w:rPr>
      </w:pP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6.4. Tolerancje wymiarów oznakowania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6.4.1. </w:t>
      </w:r>
      <w:r w:rsidRPr="00376408">
        <w:rPr>
          <w:rFonts w:ascii="Arial" w:hAnsi="Arial" w:cs="Arial"/>
        </w:rPr>
        <w:t>Tolerancje nowo wykonanego oznakowania</w:t>
      </w:r>
    </w:p>
    <w:p w:rsidR="00AA68FB" w:rsidRPr="00376408" w:rsidRDefault="00AA68FB" w:rsidP="00AA68FB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Tolerancje nowo wykonanego oznakowania poziomego, zgodnego z dokumentacją projektową i załącznikiem nr 2 do rozporządzenia Ministra Infrastruktury z 3.07.2003 r. [7], powinny odpowiadać następującym warunkom: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szerokość linii może różnić się od wymaganej o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>5 mm</w:t>
        </w:r>
      </w:smartTag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długość linii może być mniejsza od wymaganej co najwyżej o </w:t>
      </w:r>
      <w:smartTag w:uri="urn:schemas-microsoft-com:office:smarttags" w:element="metricconverter">
        <w:smartTagPr>
          <w:attr w:name="ProductID" w:val="50 mm"/>
        </w:smartTagPr>
        <w:r w:rsidRPr="00376408">
          <w:rPr>
            <w:rFonts w:ascii="Arial" w:hAnsi="Arial" w:cs="Arial"/>
          </w:rPr>
          <w:t>50 mm</w:t>
        </w:r>
      </w:smartTag>
      <w:r w:rsidRPr="00376408">
        <w:rPr>
          <w:rFonts w:ascii="Arial" w:hAnsi="Arial" w:cs="Arial"/>
        </w:rPr>
        <w:t xml:space="preserve"> lub większa co najwyżej o </w:t>
      </w:r>
      <w:smartTag w:uri="urn:schemas-microsoft-com:office:smarttags" w:element="metricconverter">
        <w:smartTagPr>
          <w:attr w:name="ProductID" w:val="150 mm"/>
        </w:smartTagPr>
        <w:r w:rsidRPr="00376408">
          <w:rPr>
            <w:rFonts w:ascii="Arial" w:hAnsi="Arial" w:cs="Arial"/>
          </w:rPr>
          <w:t>150 mm</w:t>
        </w:r>
      </w:smartTag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dla linii przerywanych, długość cyklu składającego się z linii i przerwy nie może odbiegać od średniej liczonej z 10 kolejnych cykli o więcej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0 mm"/>
        </w:smartTagPr>
        <w:r w:rsidRPr="00376408">
          <w:rPr>
            <w:rFonts w:ascii="Arial" w:hAnsi="Arial" w:cs="Arial"/>
          </w:rPr>
          <w:t>50 mm</w:t>
        </w:r>
      </w:smartTag>
      <w:r w:rsidRPr="00376408">
        <w:rPr>
          <w:rFonts w:ascii="Arial" w:hAnsi="Arial" w:cs="Arial"/>
        </w:rPr>
        <w:t xml:space="preserve"> długości wymaganej,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 xml:space="preserve">dla strzałek, liter i cyfr rozstaw punktów narożnikowych nie może mieć większej odchyłki od wymaganego wzoru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0 mm"/>
        </w:smartTagPr>
        <w:r w:rsidRPr="00376408">
          <w:rPr>
            <w:rFonts w:ascii="Arial" w:hAnsi="Arial" w:cs="Arial"/>
          </w:rPr>
          <w:t>50 mm</w:t>
        </w:r>
      </w:smartTag>
      <w:r w:rsidRPr="00376408">
        <w:rPr>
          <w:rFonts w:ascii="Arial" w:hAnsi="Arial" w:cs="Arial"/>
        </w:rPr>
        <w:t xml:space="preserve"> dla wymiaru długości i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</w:rPr>
          <w:t>20 mm</w:t>
        </w:r>
      </w:smartTag>
      <w:r w:rsidRPr="00376408">
        <w:rPr>
          <w:rFonts w:ascii="Arial" w:hAnsi="Arial" w:cs="Arial"/>
        </w:rPr>
        <w:t xml:space="preserve"> dla wymiaru szerokości.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Przy wykonywaniu nowego oznakowania poziomego, spowodowanego zmianami organizacji ruchu, należy dokładnie usunąć zbędne stare oznakowanie.</w:t>
      </w:r>
    </w:p>
    <w:p w:rsidR="00AA68FB" w:rsidRPr="00376408" w:rsidRDefault="00AA68FB" w:rsidP="00AA68FB">
      <w:pPr>
        <w:numPr>
          <w:ilvl w:val="12"/>
          <w:numId w:val="0"/>
        </w:num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6.4.2. </w:t>
      </w:r>
      <w:r w:rsidRPr="00376408">
        <w:rPr>
          <w:rFonts w:ascii="Arial" w:hAnsi="Arial" w:cs="Arial"/>
        </w:rPr>
        <w:t>Tolerancje przy odnawianiu istniejącego oznakowania</w:t>
      </w:r>
    </w:p>
    <w:p w:rsidR="00AA68FB" w:rsidRPr="00376408" w:rsidRDefault="00AA68FB" w:rsidP="00AA68FB">
      <w:pPr>
        <w:numPr>
          <w:ilvl w:val="12"/>
          <w:numId w:val="0"/>
        </w:num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Przy odnawianiu istniejącego oznakowania należy dążyć do  pokrycia pełnej powierzchni istniejących znaków, przy zachowaniu dopuszczalnych tolerancji podanych w punkcie 6.4.1.</w:t>
      </w:r>
    </w:p>
    <w:p w:rsidR="00AA68FB" w:rsidRPr="00376408" w:rsidRDefault="00AA68FB" w:rsidP="00AA68FB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7" w:name="_Toc420816686"/>
      <w:bookmarkStart w:id="8" w:name="_Toc131919916"/>
      <w:r w:rsidRPr="00376408">
        <w:rPr>
          <w:rFonts w:ascii="Arial" w:hAnsi="Arial" w:cs="Arial"/>
        </w:rPr>
        <w:t>7. Obmiar robót</w:t>
      </w:r>
      <w:bookmarkEnd w:id="7"/>
      <w:bookmarkEnd w:id="8"/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AA68FB" w:rsidRPr="00376408" w:rsidRDefault="00AA68FB" w:rsidP="00AA68FB">
      <w:pPr>
        <w:numPr>
          <w:ilvl w:val="12"/>
          <w:numId w:val="0"/>
        </w:num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oznakowania poziomego jest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powierzchni naniesionych oznakowań lub liczba umieszczonych punktowych elementów odblaskowych.</w:t>
      </w:r>
    </w:p>
    <w:p w:rsidR="00AA68FB" w:rsidRPr="00376408" w:rsidRDefault="00AA68FB" w:rsidP="00AA68FB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9" w:name="_Toc420816687"/>
      <w:bookmarkStart w:id="10" w:name="_Toc131919917"/>
      <w:r w:rsidRPr="00376408">
        <w:rPr>
          <w:rFonts w:ascii="Arial" w:hAnsi="Arial" w:cs="Arial"/>
        </w:rPr>
        <w:t>8. odbiór robót</w:t>
      </w:r>
      <w:bookmarkEnd w:id="9"/>
      <w:bookmarkEnd w:id="10"/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8.1. Ogólne zasady odbioru robót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badania,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6, dały wyniki pozytywne.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8.2. Odbiór robót zanikających i ulegających zakryciu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Odbiór robót zanikających i ulegających zakryciu, w zależności od przyjętego sposobu wykonania robót, może być dokonany po: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oczyszczeniu powierzchni nawierzchni,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proofErr w:type="spellStart"/>
      <w:r w:rsidRPr="00376408">
        <w:rPr>
          <w:rFonts w:ascii="Arial" w:hAnsi="Arial" w:cs="Arial"/>
        </w:rPr>
        <w:t>przedznakowaniu</w:t>
      </w:r>
      <w:proofErr w:type="spellEnd"/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frezowaniu nawierzchni przed wykonaniem znakowania materiałem grubowarstwowym,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usunięciu istniejącego oznakowania poziomego,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wykonaniu podkładu (</w:t>
      </w:r>
      <w:proofErr w:type="spellStart"/>
      <w:r w:rsidRPr="00376408">
        <w:rPr>
          <w:rFonts w:ascii="Arial" w:hAnsi="Arial" w:cs="Arial"/>
        </w:rPr>
        <w:t>primera</w:t>
      </w:r>
      <w:proofErr w:type="spellEnd"/>
      <w:r w:rsidRPr="00376408">
        <w:rPr>
          <w:rFonts w:ascii="Arial" w:hAnsi="Arial" w:cs="Arial"/>
        </w:rPr>
        <w:t>) na nawierzchni betonowej.</w:t>
      </w:r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8.3. Odbiór ostateczny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Odbioru ostatecznego należy dokonać po całkowitym zakończeniu robót, na podstawie wyników pomiarów i badań jakościowych określonych w punktach od 2 do 6.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8.4. Odbiór pogwarancyjny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Odbioru pogwarancyjnego należy dokonać po upływie okresu gwarancyjnego, ustalonego w SST. Sprawdzeniu podlegają cechy oznakowania określone niniejszym OST na podstawie badań wykonanych przed upływem okresu gwarancyjnego.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stosowanie następujących minimalnych okresów gwarancyjnych: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a) dla oznakowania cienkowarstwowego: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odcinkach zamiejskich, z wyłączeniem przejść dla pieszych: co najmniej 12 miesięcy,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odcinkach przejść przez miejscowości: co najmniej 6 miesięcy,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przejściach dla pieszych na odcinkach zamiejskich: co najmniej 6 miesięcy,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przejściach dla pieszych w miejscowościach: co najmniej 3 miesiące,</w:t>
      </w:r>
    </w:p>
    <w:p w:rsidR="00AA68FB" w:rsidRPr="00376408" w:rsidRDefault="00AA68FB" w:rsidP="00AA68F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dla oznakowania grubowarstwowego, oznakowania taśmami i punktowymi elementami odblaskowymi: co najmniej 24 miesiące.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niektórych przypadkach można rozważać ograniczenia okresów gwarancyjnych dla oznakowań:</w:t>
      </w:r>
    </w:p>
    <w:p w:rsidR="00AA68FB" w:rsidRPr="00376408" w:rsidRDefault="00AA68FB" w:rsidP="00AA68FB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a) cienkowarstwowych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dla wymalowań farbami nie udziela się 12 miesięcznej gwarancji na wykonane oznakowanie w przypadku nawierzchni, których czas użytkowania jest krótszy niż jeden rok oraz dla oznakowań wykonanych w okresie od 1 listopada do 31 marca,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nawierzchniach bitumicznych niejednorodnych o warstwie ścieralnej spękanej, kruszącej się, z luźnymi grysami, należy skrócić okres gwarancyjny dla linii segregacyjnych do 6 miesięcy, przejść dla pieszych i drobnych elementów do 3 miesięcy,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nawierzchniach kostkowych o równej powierzchni w dobrym stanie, pożądane jest skrócić okres gwarancyjny dla linii segregacyjnych do 3  miesięcy, przejść dla pieszych i drobnych elementów do 1 miesiąca,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nawierzchniach drogowych o silnie zdeformowanej, spękanej, łuszczącej się powierzchni, na złączach podłużnych jeśli są niejednorodne, tj. ze szczelinami, garbami podłużnymi i poprzecznymi, na nawierzchniach kostkowych w złym stanie (nierówna powierzchnia, kostka uszkodzona, braki kostki, luźne zanieczyszczenia w szczelinach między kostkami niemożliwe do usunięcia za pomocą szczotki i zamiatarki) - gwarancji nie powinno się udzielać,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w przypadku stosowania piasku  lub piasku z solą do zimowego utrzymania dróg, okres gwarancyjny należy skrócić do maksimum 9 miesięcy przy wymalowaniu wiosennym i do 6 miesięcy przy wymalowaniu jesiennym;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na nawierzchniach bitumicznych ułożonych do 1 miesiąca przed wykonaniem oznakowania (nawierzchnie nowe i odnowione) należy wymagać gwarancji maksymalnie 6 miesięcy przy minimalnych parametrach (R</w:t>
      </w:r>
      <w:r w:rsidRPr="00376408">
        <w:rPr>
          <w:rFonts w:ascii="Arial" w:hAnsi="Arial" w:cs="Arial"/>
          <w:vertAlign w:val="subscript"/>
        </w:rPr>
        <w:t>L</w:t>
      </w:r>
      <w:r w:rsidRPr="00376408">
        <w:rPr>
          <w:rFonts w:ascii="Arial" w:hAnsi="Arial" w:cs="Arial"/>
        </w:rPr>
        <w:t xml:space="preserve"> &gt; 100 mcd/m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>lx), po czym należy wykonać oznakowanie stałe z pełnymi wymaganiami odpowiednimi do rodzaju drogi.</w:t>
      </w:r>
    </w:p>
    <w:p w:rsidR="00AA68FB" w:rsidRPr="00376408" w:rsidRDefault="00AA68FB" w:rsidP="00AA68FB">
      <w:pPr>
        <w:pStyle w:val="Nagwek1"/>
        <w:ind w:left="110"/>
        <w:rPr>
          <w:rFonts w:ascii="Arial" w:hAnsi="Arial" w:cs="Arial"/>
        </w:rPr>
      </w:pPr>
      <w:bookmarkStart w:id="11" w:name="_Toc420816688"/>
      <w:bookmarkStart w:id="12" w:name="_Toc131919918"/>
      <w:r w:rsidRPr="00376408">
        <w:rPr>
          <w:rFonts w:ascii="Arial" w:hAnsi="Arial" w:cs="Arial"/>
        </w:rPr>
        <w:t>9. podstawa płatności</w:t>
      </w:r>
      <w:bookmarkEnd w:id="11"/>
      <w:bookmarkEnd w:id="12"/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 Ponadto Zamawiający powinien tak sformułować umowę, aby Wykonawca musiał doprowadzić oznakowanie do wymagań zawartych w SST w przypadku zauważenia niezgodności.</w:t>
      </w:r>
    </w:p>
    <w:p w:rsidR="00AA68FB" w:rsidRPr="00376408" w:rsidRDefault="00AA68FB" w:rsidP="00AA68FB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AA68FB" w:rsidRPr="00376408" w:rsidRDefault="00AA68FB" w:rsidP="00AA68FB">
      <w:pPr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wykonania robót obejmuje: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prace pomiarowe, roboty przygotowawcze i oznakowanie robót,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przygotowanie i dostarczenie materiałów,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oczyszczenie podłoża (nawierzchni),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proofErr w:type="spellStart"/>
      <w:r w:rsidRPr="00376408">
        <w:rPr>
          <w:rFonts w:ascii="Arial" w:hAnsi="Arial" w:cs="Arial"/>
        </w:rPr>
        <w:t>przedznakowanie</w:t>
      </w:r>
      <w:proofErr w:type="spellEnd"/>
      <w:r w:rsidRPr="00376408">
        <w:rPr>
          <w:rFonts w:ascii="Arial" w:hAnsi="Arial" w:cs="Arial"/>
        </w:rPr>
        <w:t>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naniesienie powłoki znaków na nawierzchnię drogi o kształtach i wymiarach zgodnych z dokumentacją projektową i załącznikiem nr 2 do rozporządzenia Ministra Infrastruktury [7],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ochrona znaków przed zniszczeniem przez pojazdy w czasie prowadzenia robót,</w:t>
      </w:r>
    </w:p>
    <w:p w:rsidR="00AA68FB" w:rsidRPr="00376408" w:rsidRDefault="00AA68FB" w:rsidP="00AA68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przeprowadzenie pomiarów i badań laboratoryjnych wymaganych w specyfikacji technicznej.</w:t>
      </w:r>
    </w:p>
    <w:p w:rsidR="00AA68FB" w:rsidRPr="00376408" w:rsidRDefault="00AA68FB" w:rsidP="00AA68FB">
      <w:pPr>
        <w:pStyle w:val="Nagwek1"/>
        <w:ind w:left="110"/>
        <w:rPr>
          <w:rFonts w:ascii="Arial" w:hAnsi="Arial" w:cs="Arial"/>
        </w:rPr>
      </w:pPr>
      <w:bookmarkStart w:id="13" w:name="_Toc420816689"/>
      <w:bookmarkStart w:id="14" w:name="_Toc131919919"/>
      <w:r w:rsidRPr="00376408">
        <w:rPr>
          <w:rFonts w:ascii="Arial" w:hAnsi="Arial" w:cs="Arial"/>
        </w:rPr>
        <w:t>10. przepisy  związane</w:t>
      </w:r>
      <w:bookmarkEnd w:id="13"/>
      <w:bookmarkEnd w:id="14"/>
    </w:p>
    <w:p w:rsidR="00AA68FB" w:rsidRPr="00376408" w:rsidRDefault="00AA68FB" w:rsidP="00AA68FB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84"/>
        <w:gridCol w:w="2346"/>
        <w:gridCol w:w="6282"/>
      </w:tblGrid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1.</w:t>
            </w:r>
          </w:p>
        </w:tc>
        <w:tc>
          <w:tcPr>
            <w:tcW w:w="1842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PN-89/C-81400</w:t>
            </w:r>
          </w:p>
        </w:tc>
        <w:tc>
          <w:tcPr>
            <w:tcW w:w="6309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Wyroby lakierowe. Pakowanie, przechowywanie i transport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1842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PN-85/O-79252</w:t>
            </w:r>
          </w:p>
        </w:tc>
        <w:tc>
          <w:tcPr>
            <w:tcW w:w="6309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Opakowania transportowe z zawartością. Znaki i znakowanie. Wymagania podstawowe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3.</w:t>
            </w:r>
          </w:p>
        </w:tc>
        <w:tc>
          <w:tcPr>
            <w:tcW w:w="1842" w:type="dxa"/>
          </w:tcPr>
          <w:p w:rsidR="00AA68FB" w:rsidRPr="00376408" w:rsidRDefault="00AA68FB" w:rsidP="00B8596D">
            <w:pPr>
              <w:pStyle w:val="Nagwek"/>
              <w:tabs>
                <w:tab w:val="left" w:pos="709"/>
              </w:tabs>
              <w:ind w:left="110"/>
              <w:rPr>
                <w:rFonts w:ascii="Arial" w:hAnsi="Arial" w:cs="Arial"/>
                <w:lang w:val="de-DE"/>
              </w:rPr>
            </w:pPr>
            <w:r w:rsidRPr="00376408">
              <w:rPr>
                <w:rFonts w:ascii="Arial" w:hAnsi="Arial" w:cs="Arial"/>
                <w:lang w:val="de-DE"/>
              </w:rPr>
              <w:t>PN-EN 1423:2000,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6309" w:type="dxa"/>
          </w:tcPr>
          <w:p w:rsidR="00AA68FB" w:rsidRPr="00376408" w:rsidRDefault="00AA68FB" w:rsidP="00B8596D">
            <w:pPr>
              <w:pStyle w:val="Tekstprzypisudolnego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Materiały do poziomego oznakowania dróg Materiały do posypywania. Kulki szklane, kruszywo przeciwpoślizgowe i ich mieszaniny)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3a.</w:t>
            </w:r>
          </w:p>
        </w:tc>
        <w:tc>
          <w:tcPr>
            <w:tcW w:w="1842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1423:2001/A1:2005</w:t>
            </w:r>
          </w:p>
        </w:tc>
        <w:tc>
          <w:tcPr>
            <w:tcW w:w="6309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do poziomego oznakowania dróg Materiały do posypywania. Kulki szklane, kruszywo przeciwpoślizgowe i ich mieszaniny (Zmiana A1)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4.</w:t>
            </w:r>
          </w:p>
        </w:tc>
        <w:tc>
          <w:tcPr>
            <w:tcW w:w="1842" w:type="dxa"/>
          </w:tcPr>
          <w:p w:rsidR="00AA68FB" w:rsidRPr="00DC095D" w:rsidRDefault="00AA68FB" w:rsidP="00B8596D">
            <w:pPr>
              <w:ind w:left="11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1436:2000,</w:t>
            </w:r>
          </w:p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6309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do poziomego oznakowania dróg. Wymagania dotyczące poziomego oznakowania dróg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4a.</w:t>
            </w:r>
          </w:p>
        </w:tc>
        <w:tc>
          <w:tcPr>
            <w:tcW w:w="1842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1436:2000/A1:2005</w:t>
            </w:r>
          </w:p>
        </w:tc>
        <w:tc>
          <w:tcPr>
            <w:tcW w:w="6309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do poziomego oznakowania dróg. Wymagania dotyczące poziomego oznakowania dróg (Zmiana A1)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5.</w:t>
            </w:r>
          </w:p>
        </w:tc>
        <w:tc>
          <w:tcPr>
            <w:tcW w:w="1842" w:type="dxa"/>
          </w:tcPr>
          <w:p w:rsidR="00AA68FB" w:rsidRPr="00376408" w:rsidRDefault="00AA68FB" w:rsidP="00B8596D">
            <w:pPr>
              <w:pStyle w:val="Nagwek"/>
              <w:tabs>
                <w:tab w:val="left" w:pos="709"/>
              </w:tabs>
              <w:ind w:left="110"/>
              <w:rPr>
                <w:rFonts w:ascii="Arial" w:hAnsi="Arial" w:cs="Arial"/>
                <w:lang w:val="de-DE"/>
              </w:rPr>
            </w:pPr>
            <w:r w:rsidRPr="00376408">
              <w:rPr>
                <w:rFonts w:ascii="Arial" w:hAnsi="Arial" w:cs="Arial"/>
                <w:lang w:val="de-DE"/>
              </w:rPr>
              <w:t>PN-EN 1463-1:2000</w:t>
            </w:r>
          </w:p>
          <w:p w:rsidR="00AA68FB" w:rsidRPr="00376408" w:rsidRDefault="00AA68FB" w:rsidP="00B8596D">
            <w:pPr>
              <w:pStyle w:val="Nagwek"/>
              <w:tabs>
                <w:tab w:val="left" w:pos="709"/>
              </w:tabs>
              <w:ind w:left="110"/>
              <w:rPr>
                <w:rFonts w:ascii="Arial" w:hAnsi="Arial" w:cs="Arial"/>
                <w:lang w:val="de-DE"/>
              </w:rPr>
            </w:pPr>
          </w:p>
        </w:tc>
        <w:tc>
          <w:tcPr>
            <w:tcW w:w="6309" w:type="dxa"/>
          </w:tcPr>
          <w:p w:rsidR="00AA68FB" w:rsidRPr="00376408" w:rsidRDefault="00AA68FB" w:rsidP="00B8596D">
            <w:pPr>
              <w:pStyle w:val="Tekstprzypisudolnego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Materiały do poziomego oznakowania dróg. Punktowe elementy odblaskowe Część 1: Wymagania dotyczące charakterystyki nowego elementu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5a.</w:t>
            </w:r>
          </w:p>
        </w:tc>
        <w:tc>
          <w:tcPr>
            <w:tcW w:w="1842" w:type="dxa"/>
          </w:tcPr>
          <w:p w:rsidR="00AA68FB" w:rsidRPr="00376408" w:rsidRDefault="00AA68FB" w:rsidP="00B8596D">
            <w:pPr>
              <w:pStyle w:val="Nagwek"/>
              <w:tabs>
                <w:tab w:val="left" w:pos="709"/>
              </w:tabs>
              <w:ind w:left="110"/>
              <w:rPr>
                <w:rFonts w:ascii="Arial" w:hAnsi="Arial" w:cs="Arial"/>
                <w:lang w:val="en-US"/>
              </w:rPr>
            </w:pPr>
            <w:r w:rsidRPr="00376408">
              <w:rPr>
                <w:rFonts w:ascii="Arial" w:hAnsi="Arial" w:cs="Arial"/>
                <w:lang w:val="en-US"/>
              </w:rPr>
              <w:t>PN-EN 1463-1:2000/A1:2005</w:t>
            </w:r>
          </w:p>
        </w:tc>
        <w:tc>
          <w:tcPr>
            <w:tcW w:w="6309" w:type="dxa"/>
          </w:tcPr>
          <w:p w:rsidR="00AA68FB" w:rsidRPr="00376408" w:rsidRDefault="00AA68FB" w:rsidP="00B8596D">
            <w:pPr>
              <w:pStyle w:val="Tekstprzypisudolnego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Materiały do poziomego oznakowania dróg. Punktowe elementy odblaskowe Część 1: Wymagania dotyczące charakterystyki nowego elementu (Zmiana A1)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5b.</w:t>
            </w:r>
          </w:p>
        </w:tc>
        <w:tc>
          <w:tcPr>
            <w:tcW w:w="1842" w:type="dxa"/>
          </w:tcPr>
          <w:p w:rsidR="00AA68FB" w:rsidRPr="00376408" w:rsidRDefault="00AA68FB" w:rsidP="00B8596D">
            <w:pPr>
              <w:pStyle w:val="Nagwek"/>
              <w:tabs>
                <w:tab w:val="left" w:pos="709"/>
              </w:tabs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PN-EN 1463-2:2000</w:t>
            </w:r>
          </w:p>
        </w:tc>
        <w:tc>
          <w:tcPr>
            <w:tcW w:w="6309" w:type="dxa"/>
          </w:tcPr>
          <w:p w:rsidR="00AA68FB" w:rsidRPr="00376408" w:rsidRDefault="00AA68FB" w:rsidP="00B8596D">
            <w:pPr>
              <w:pStyle w:val="Tekstprzypisudolnego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Materiały do poziomego oznakowania dróg. Punktowe elementy odblaskowe Część 2: Badania terenowe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6.</w:t>
            </w:r>
          </w:p>
        </w:tc>
        <w:tc>
          <w:tcPr>
            <w:tcW w:w="1842" w:type="dxa"/>
          </w:tcPr>
          <w:p w:rsidR="00AA68FB" w:rsidRPr="00376408" w:rsidRDefault="00AA68FB" w:rsidP="00B8596D">
            <w:pPr>
              <w:pStyle w:val="Nagwek"/>
              <w:tabs>
                <w:tab w:val="left" w:pos="709"/>
              </w:tabs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PN-EN 1871:2003</w:t>
            </w:r>
          </w:p>
        </w:tc>
        <w:tc>
          <w:tcPr>
            <w:tcW w:w="6309" w:type="dxa"/>
          </w:tcPr>
          <w:p w:rsidR="00AA68FB" w:rsidRPr="00376408" w:rsidRDefault="00AA68FB" w:rsidP="00B8596D">
            <w:pPr>
              <w:pStyle w:val="Tekstprzypisudolnego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Materiały do poziomego oznakowania dróg. Właściwości fizyczne</w:t>
            </w:r>
          </w:p>
        </w:tc>
      </w:tr>
      <w:tr w:rsidR="00AA68FB" w:rsidRPr="00DC095D" w:rsidTr="00B8596D">
        <w:tc>
          <w:tcPr>
            <w:tcW w:w="496" w:type="dxa"/>
          </w:tcPr>
          <w:p w:rsidR="00AA68FB" w:rsidRPr="00DC095D" w:rsidRDefault="00AA68FB" w:rsidP="00B8596D">
            <w:pPr>
              <w:overflowPunct w:val="0"/>
              <w:autoSpaceDE w:val="0"/>
              <w:autoSpaceDN w:val="0"/>
              <w:adjustRightInd w:val="0"/>
              <w:ind w:left="110"/>
              <w:jc w:val="right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6a.</w:t>
            </w:r>
          </w:p>
        </w:tc>
        <w:tc>
          <w:tcPr>
            <w:tcW w:w="1842" w:type="dxa"/>
          </w:tcPr>
          <w:p w:rsidR="00AA68FB" w:rsidRPr="00376408" w:rsidRDefault="00AA68FB" w:rsidP="00B8596D">
            <w:pPr>
              <w:pStyle w:val="Nagwek"/>
              <w:tabs>
                <w:tab w:val="left" w:pos="709"/>
              </w:tabs>
              <w:ind w:left="110"/>
              <w:rPr>
                <w:rFonts w:ascii="Arial" w:hAnsi="Arial" w:cs="Arial"/>
                <w:lang w:val="de-DE"/>
              </w:rPr>
            </w:pPr>
            <w:r w:rsidRPr="00376408">
              <w:rPr>
                <w:rFonts w:ascii="Arial" w:hAnsi="Arial" w:cs="Arial"/>
                <w:lang w:val="de-DE"/>
              </w:rPr>
              <w:t>PN-EN 13036-4: 2004(U)</w:t>
            </w:r>
          </w:p>
        </w:tc>
        <w:tc>
          <w:tcPr>
            <w:tcW w:w="6309" w:type="dxa"/>
          </w:tcPr>
          <w:p w:rsidR="00AA68FB" w:rsidRPr="00376408" w:rsidRDefault="00AA68FB" w:rsidP="00B8596D">
            <w:pPr>
              <w:pStyle w:val="Tekstprzypisudolnego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:rsidR="00AA68FB" w:rsidRPr="00376408" w:rsidRDefault="00AA68FB" w:rsidP="00AA68FB">
      <w:pPr>
        <w:pStyle w:val="Nagwek2"/>
        <w:spacing w:before="240"/>
        <w:ind w:left="110"/>
        <w:rPr>
          <w:rFonts w:ascii="Arial" w:hAnsi="Arial" w:cs="Arial"/>
        </w:rPr>
      </w:pPr>
      <w:r w:rsidRPr="00376408">
        <w:rPr>
          <w:rFonts w:ascii="Arial" w:hAnsi="Arial" w:cs="Arial"/>
          <w:lang w:val="de-DE"/>
        </w:rPr>
        <w:t xml:space="preserve">10.2. </w:t>
      </w:r>
      <w:r w:rsidRPr="00376408">
        <w:rPr>
          <w:rFonts w:ascii="Arial" w:hAnsi="Arial" w:cs="Arial"/>
        </w:rPr>
        <w:t>Przepisy związane i inne dokumenty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Załącznik nr 2 do rozporządzenia Ministra Infrastruktury z dnia 3 lipca 2003 r. Szczegółowe warunki techniczne dla znaków drogowych poziomych i warunki ich umieszczania na drogach (Dz. U. nr 220, poz. 2181)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Rozporządzenie  Ministra  Infrastruktury   z  dnia  11 sierpnia 2004 r.  w  sprawie  sposobów deklarowania zgodności wyrobów budowlanych oraz sposobu znakowania ich  znakiem budowlanym (Dz. U. nr 198, poz. 2041)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Warunki Techniczne. Poziome znakowanie dróg. POD-97. Seria „I” - Informacje, Instrukcje. Zeszyt nr 55.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Warszawa, 1997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Warunki Techniczne. Poziome znakowanie dróg. POD-2006. Seria „I” - Informacje, Instrukcje.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Warszawa, w opracowaniu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Prawo przewozowe (Dz. U. nr 53 z 1984 r., poz. 272 z późniejszymi zmianami)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Rozporządzenie Ministra Infrastruktury z dnia 11 sierpnia 2004 r.  w  sprawie  systemów oceny zgodności, wymagań jakie powinny spełniać notyfikowane </w:t>
      </w:r>
      <w:r w:rsidRPr="00376408">
        <w:rPr>
          <w:rFonts w:ascii="Arial" w:hAnsi="Arial" w:cs="Arial"/>
        </w:rPr>
        <w:lastRenderedPageBreak/>
        <w:t>jednostki uczestniczące w ocenie zgodności oraz sposobu oznaczania wyrobów budowlanych oznakowaniem CE (Dz. U. nr 195, poz. 2011)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Rozporządzenie Ministra Zdrowia z dnia 2 września 2003 r. w sprawie oznakowania opakowań substancji niebezpiecznych i preparatów niebezpiecznych (Dz. U. nr 73, poz. 1679)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Umowa europejska dotycząca międzynarodowego przewozu towarów niebezpiecznych (RID/ADR)</w:t>
      </w:r>
    </w:p>
    <w:p w:rsidR="00AA68FB" w:rsidRPr="00376408" w:rsidRDefault="00AA68FB" w:rsidP="00AA68FB">
      <w:pPr>
        <w:numPr>
          <w:ilvl w:val="0"/>
          <w:numId w:val="17"/>
        </w:numPr>
        <w:tabs>
          <w:tab w:val="num" w:pos="851"/>
        </w:tabs>
        <w:overflowPunct w:val="0"/>
        <w:autoSpaceDE w:val="0"/>
        <w:autoSpaceDN w:val="0"/>
        <w:adjustRightInd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Rozporządzenie Ministra Infrastruktury z dnia 8 listopada 2004 r. w sprawie aprobat technicznych oraz jednostek organizacyjnych uprawnionych do ich wydania (Dz. U. nr 249, poz. 2497)</w:t>
      </w:r>
    </w:p>
    <w:p w:rsidR="00F10BE3" w:rsidRPr="00AA68FB" w:rsidRDefault="00F10BE3" w:rsidP="00AA68FB"/>
    <w:sectPr w:rsidR="00F10BE3" w:rsidRPr="00AA68FB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7153F2F"/>
    <w:multiLevelType w:val="hybridMultilevel"/>
    <w:tmpl w:val="3740088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4136AB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cs="Symbol" w:hint="default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32068C"/>
    <w:multiLevelType w:val="hybridMultilevel"/>
    <w:tmpl w:val="C67061AA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</w:lvl>
  </w:abstractNum>
  <w:abstractNum w:abstractNumId="9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D56604"/>
    <w:multiLevelType w:val="singleLevel"/>
    <w:tmpl w:val="0C7C5F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766D76EF"/>
    <w:multiLevelType w:val="hybridMultilevel"/>
    <w:tmpl w:val="E5047AF0"/>
    <w:lvl w:ilvl="0" w:tplc="CE7CE422">
      <w:start w:val="7"/>
      <w:numFmt w:val="decimal"/>
      <w:lvlText w:val="%1."/>
      <w:lvlJc w:val="right"/>
      <w:pPr>
        <w:tabs>
          <w:tab w:val="num" w:pos="1021"/>
        </w:tabs>
        <w:ind w:left="1021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2"/>
    </w:lvlOverride>
  </w:num>
  <w:num w:numId="17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A68FB"/>
    <w:rsid w:val="004E022F"/>
    <w:rsid w:val="00625EF8"/>
    <w:rsid w:val="00AA68FB"/>
    <w:rsid w:val="00C35475"/>
    <w:rsid w:val="00CB4268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A68FB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AA68FB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AA68FB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68FB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A68FB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68FB"/>
    <w:rPr>
      <w:rFonts w:ascii="Cambria" w:eastAsia="Times New Roman" w:hAnsi="Cambria" w:cs="Cambria"/>
      <w:b/>
      <w:bCs/>
      <w:i/>
      <w:iCs/>
      <w:color w:val="4F81BD"/>
      <w:lang w:eastAsia="pl-PL"/>
    </w:rPr>
  </w:style>
  <w:style w:type="paragraph" w:styleId="Tekstpodstawowywcity">
    <w:name w:val="Body Text Indent"/>
    <w:basedOn w:val="Normalny"/>
    <w:link w:val="TekstpodstawowywcityZnak"/>
    <w:rsid w:val="00AA68FB"/>
    <w:pPr>
      <w:tabs>
        <w:tab w:val="left" w:pos="302"/>
        <w:tab w:val="left" w:pos="302"/>
        <w:tab w:val="right" w:pos="9072"/>
      </w:tabs>
      <w:suppressAutoHyphens/>
      <w:ind w:left="302"/>
    </w:pPr>
    <w:rPr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68FB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character" w:styleId="Hipercze">
    <w:name w:val="Hyperlink"/>
    <w:basedOn w:val="Domylnaczcionkaakapitu"/>
    <w:semiHidden/>
    <w:rsid w:val="00AA68FB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AA68FB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AA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A68FB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A68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AA68FB"/>
    <w:rPr>
      <w:rFonts w:ascii="Century Gothic" w:hAnsi="Century Gothic"/>
    </w:rPr>
  </w:style>
  <w:style w:type="paragraph" w:styleId="Nagwek">
    <w:name w:val="header"/>
    <w:basedOn w:val="Normalny"/>
    <w:link w:val="NagwekZnak"/>
    <w:rsid w:val="00AA68FB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Century Gothic" w:eastAsiaTheme="minorHAnsi" w:hAnsi="Century Gothic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AA68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A68F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A68FB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AA68F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AA68FB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A68FB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A68FB"/>
    <w:rPr>
      <w:rFonts w:ascii="Calibri" w:eastAsia="Times New Roman" w:hAnsi="Calibri" w:cs="Calibri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A68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A68FB"/>
    <w:rPr>
      <w:rFonts w:ascii="Calibri" w:eastAsia="Times New Roman" w:hAnsi="Calibri" w:cs="Calibri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A68FB"/>
    <w:pPr>
      <w:spacing w:before="120"/>
      <w:jc w:val="both"/>
    </w:pPr>
    <w:rPr>
      <w:rFonts w:ascii="Calibri" w:hAnsi="Calibri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A68FB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8F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Urz_bezp_ruchu\d070101.htm" TargetMode="External"/><Relationship Id="rId13" Type="http://schemas.openxmlformats.org/officeDocument/2006/relationships/hyperlink" Target="file:///E:\OST\DROGOWE%20ROBOTY%20INWESTYCYJNE%20%202.12\ost\Urz_bezp_ruchu\d070101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Urz_bezp_ruchu\d070101.htm" TargetMode="External"/><Relationship Id="rId12" Type="http://schemas.openxmlformats.org/officeDocument/2006/relationships/hyperlink" Target="file:///E:\OST\DROGOWE%20ROBOTY%20INWESTYCYJNE%20%202.12\ost\Urz_bezp_ruchu\d070101.htm" TargetMode="Externa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Urz_bezp_ruchu\d070101.htm" TargetMode="External"/><Relationship Id="rId11" Type="http://schemas.openxmlformats.org/officeDocument/2006/relationships/hyperlink" Target="file:///E:\OST\DROGOWE%20ROBOTY%20INWESTYCYJNE%20%202.12\ost\Urz_bezp_ruchu\d070101.htm" TargetMode="External"/><Relationship Id="rId5" Type="http://schemas.openxmlformats.org/officeDocument/2006/relationships/hyperlink" Target="file:///E:\OST\DROGOWE%20ROBOTY%20INWESTYCYJNE%20%202.12\ost\Urz_bezp_ruchu\d070101.htm" TargetMode="External"/><Relationship Id="rId15" Type="http://schemas.openxmlformats.org/officeDocument/2006/relationships/image" Target="media/image1.png"/><Relationship Id="rId10" Type="http://schemas.openxmlformats.org/officeDocument/2006/relationships/hyperlink" Target="file:///E:\OST\DROGOWE%20ROBOTY%20INWESTYCYJNE%20%202.12\ost\Urz_bezp_ruchu\d070101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Urz_bezp_ruchu\d070101.htm" TargetMode="External"/><Relationship Id="rId14" Type="http://schemas.openxmlformats.org/officeDocument/2006/relationships/hyperlink" Target="file:///E:\OST\DROGOWE%20ROBOTY%20INWESTYCYJNE%20%202.12\ost\Urz_bezp_ruchu\d0701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8254</Words>
  <Characters>49526</Characters>
  <Application>Microsoft Office Word</Application>
  <DocSecurity>0</DocSecurity>
  <Lines>412</Lines>
  <Paragraphs>115</Paragraphs>
  <ScaleCrop>false</ScaleCrop>
  <Company>Praca</Company>
  <LinksUpToDate>false</LinksUpToDate>
  <CharactersWithSpaces>57665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2016-03-18T11:17:00Z</dcterms:created>
  <dcterms:modified xsi:type="dcterms:W3CDTF">2016-03-18T14:16:00Z</dcterms:modified>
</cp:coreProperties>
</file>