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ED" w:rsidRPr="00376408" w:rsidRDefault="005E5AED" w:rsidP="005E5AED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5E5AED" w:rsidRPr="00376408" w:rsidRDefault="005E5AED" w:rsidP="005E5AED">
      <w:pPr>
        <w:rPr>
          <w:rFonts w:ascii="Arial" w:hAnsi="Arial" w:cs="Arial"/>
          <w:b/>
          <w:bCs/>
          <w:sz w:val="28"/>
          <w:szCs w:val="28"/>
        </w:rPr>
      </w:pPr>
    </w:p>
    <w:p w:rsidR="005E5AED" w:rsidRPr="0029262A" w:rsidRDefault="005E5AED" w:rsidP="005E5AED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- 06.03.01</w:t>
      </w: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5E5AED" w:rsidRDefault="005E5AED" w:rsidP="005E5AED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ŚCINANIE  I  UZUPEŁNIANIE  POBOCZY</w:t>
      </w:r>
    </w:p>
    <w:p w:rsidR="005E5AED" w:rsidRPr="00376408" w:rsidRDefault="005E5AED" w:rsidP="005E5AED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5E5AED" w:rsidRPr="00690AD8" w:rsidRDefault="005E5AED" w:rsidP="005E5AED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690AD8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5E5AED" w:rsidRPr="00690AD8" w:rsidTr="00B8596D">
        <w:trPr>
          <w:jc w:val="center"/>
        </w:trPr>
        <w:tc>
          <w:tcPr>
            <w:tcW w:w="810" w:type="dxa"/>
          </w:tcPr>
          <w:p w:rsidR="005E5AED" w:rsidRPr="00690AD8" w:rsidRDefault="005E5AED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90AD8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5E5AED" w:rsidRPr="00690AD8" w:rsidRDefault="005E5AED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AD8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5E5AED" w:rsidRPr="00690AD8" w:rsidTr="00B8596D">
        <w:trPr>
          <w:jc w:val="center"/>
        </w:trPr>
        <w:tc>
          <w:tcPr>
            <w:tcW w:w="810" w:type="dxa"/>
          </w:tcPr>
          <w:p w:rsidR="005E5AED" w:rsidRPr="00690AD8" w:rsidRDefault="005E5AED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90AD8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5E5AED" w:rsidRPr="00690AD8" w:rsidRDefault="005E5AED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AD8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5E5AED" w:rsidRDefault="005E5AED" w:rsidP="005E5AED">
      <w:pPr>
        <w:pBdr>
          <w:bottom w:val="single" w:sz="6" w:space="1" w:color="auto"/>
        </w:pBdr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5E5AED" w:rsidRPr="00376408" w:rsidRDefault="005E5AED" w:rsidP="005E5AED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01871158" w:history="1">
        <w:r w:rsidRPr="00376408">
          <w:rPr>
            <w:rStyle w:val="Hipercze"/>
            <w:rFonts w:ascii="Arial" w:hAnsi="Arial" w:cs="Arial"/>
          </w:rPr>
          <w:t>1. WSTĘP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01871159" w:history="1">
        <w:r w:rsidRPr="00376408">
          <w:rPr>
            <w:rStyle w:val="Hipercze"/>
            <w:rFonts w:ascii="Arial" w:hAnsi="Arial" w:cs="Arial"/>
          </w:rPr>
          <w:t>2. MATERIAŁY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01871160" w:history="1">
        <w:r w:rsidRPr="00376408">
          <w:rPr>
            <w:rStyle w:val="Hipercze"/>
            <w:rFonts w:ascii="Arial" w:hAnsi="Arial" w:cs="Arial"/>
          </w:rPr>
          <w:t>3. SPRZĘT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01871161" w:history="1">
        <w:r w:rsidRPr="00376408">
          <w:rPr>
            <w:rStyle w:val="Hipercze"/>
            <w:rFonts w:ascii="Arial" w:hAnsi="Arial" w:cs="Arial"/>
          </w:rPr>
          <w:t>4. TRANSPORT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01871162" w:history="1">
        <w:r w:rsidRPr="00376408">
          <w:rPr>
            <w:rStyle w:val="Hipercze"/>
            <w:rFonts w:ascii="Arial" w:hAnsi="Arial" w:cs="Arial"/>
          </w:rPr>
          <w:t>5. WYKONANIE ROBÓT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01871163" w:history="1">
        <w:r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01871164" w:history="1">
        <w:r w:rsidRPr="00376408">
          <w:rPr>
            <w:rStyle w:val="Hipercze"/>
            <w:rFonts w:ascii="Arial" w:hAnsi="Arial" w:cs="Arial"/>
          </w:rPr>
          <w:t>7. OBMIAR ROBÓT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01871165" w:history="1">
        <w:r w:rsidRPr="00376408">
          <w:rPr>
            <w:rStyle w:val="Hipercze"/>
            <w:rFonts w:ascii="Arial" w:hAnsi="Arial" w:cs="Arial"/>
          </w:rPr>
          <w:t>8. ODBIÓR ROBÓT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01871166" w:history="1">
        <w:r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5E5AED" w:rsidRPr="00376408" w:rsidRDefault="005E5AED" w:rsidP="005E5AED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01871167" w:history="1">
        <w:r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5E5AED" w:rsidRPr="00376408" w:rsidRDefault="005E5AED" w:rsidP="005E5AED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0" w:name="_Toc428247148"/>
      <w:bookmarkStart w:id="1" w:name="_Toc501871158"/>
      <w:r w:rsidRPr="00376408">
        <w:rPr>
          <w:rFonts w:ascii="Arial" w:hAnsi="Arial" w:cs="Arial"/>
        </w:rPr>
        <w:t>1. WSTĘP</w:t>
      </w:r>
      <w:bookmarkEnd w:id="0"/>
      <w:bookmarkEnd w:id="1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ze ścinaniem i uzupełnianiem poboczy gruntowych.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Ustalenia zawarte w niniejszej specyfikacji dotyczą zasad prowadzenia robót związanych ze ścinaniem zawyżonych poboczy i uzupełnianiem zaniżonych poboczy.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5E5AED" w:rsidRPr="0029262A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>Odkład - miejsce składowania gruntu pozyskanego w czasie ścinania poboczy.</w:t>
      </w:r>
      <w:r w:rsidRPr="00376408">
        <w:rPr>
          <w:rFonts w:ascii="Arial" w:hAnsi="Arial" w:cs="Arial"/>
          <w:b/>
          <w:bCs/>
        </w:rPr>
        <w:t> </w:t>
      </w:r>
    </w:p>
    <w:p w:rsidR="005E5AED" w:rsidRPr="00376408" w:rsidRDefault="005E5AED" w:rsidP="005E5AED">
      <w:pP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5E5AED" w:rsidRPr="00376408" w:rsidRDefault="005E5AED" w:rsidP="005E5AED">
      <w:pPr>
        <w:ind w:left="110"/>
        <w:rPr>
          <w:rFonts w:ascii="Arial" w:hAnsi="Arial" w:cs="Arial"/>
          <w:sz w:val="19"/>
          <w:szCs w:val="19"/>
        </w:rPr>
        <w:sectPr w:rsidR="005E5AED" w:rsidRPr="00376408" w:rsidSect="00AF627B">
          <w:pgSz w:w="11907" w:h="16840"/>
          <w:pgMar w:top="719" w:right="576" w:bottom="899" w:left="990" w:header="1985" w:footer="1531" w:gutter="0"/>
          <w:cols w:space="708"/>
          <w:titlePg/>
          <w:rtlGutter/>
        </w:sectPr>
      </w:pPr>
    </w:p>
    <w:p w:rsidR="005E5AED" w:rsidRPr="00376408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1.4.3. </w:t>
      </w:r>
      <w:r w:rsidRPr="00376408">
        <w:rPr>
          <w:rFonts w:ascii="Arial" w:hAnsi="Arial" w:cs="Arial"/>
        </w:rPr>
        <w:t>Dokop - miejsce pozyskania gruntu do wykonania uzupełnienia poboczy położone poza pasem drogowym.</w:t>
      </w:r>
    </w:p>
    <w:p w:rsidR="005E5AED" w:rsidRPr="0029262A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b/>
          <w:bCs/>
        </w:rPr>
        <w:t xml:space="preserve">1.4.4. </w:t>
      </w:r>
      <w:r w:rsidRPr="00376408">
        <w:t>Pozostałe określenia podstawowe są zgodne z obowiązującymi, odpowiednimi polskimi normami i z definicjami podanymi w OST D-M-00.00</w:t>
      </w:r>
      <w:r>
        <w:t xml:space="preserve">.00 „Wymagania ogólne” </w:t>
      </w:r>
      <w:proofErr w:type="spellStart"/>
      <w:r>
        <w:t>pkt</w:t>
      </w:r>
      <w:proofErr w:type="spellEnd"/>
      <w:r>
        <w:t xml:space="preserve"> 1.4.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2" w:name="_Toc428247149"/>
      <w:bookmarkStart w:id="3" w:name="_Toc501871159"/>
      <w:r w:rsidRPr="00376408">
        <w:rPr>
          <w:rFonts w:ascii="Arial" w:hAnsi="Arial" w:cs="Arial"/>
        </w:rPr>
        <w:t>2. MATERIAŁY</w:t>
      </w:r>
      <w:bookmarkEnd w:id="2"/>
      <w:bookmarkEnd w:id="3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Rodzaje materiałów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Rodzaje materiałów stosowanych do uzupełnienia poboczy podano w OST D-05.01.00 „Nawierzchnie gruntowe” i D-05.01.01 „Nawierzchnia gruntowa naturalna”.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4" w:name="_Toc428247150"/>
      <w:bookmarkStart w:id="5" w:name="_Toc501871160"/>
      <w:r w:rsidRPr="00376408">
        <w:rPr>
          <w:rFonts w:ascii="Arial" w:hAnsi="Arial" w:cs="Arial"/>
        </w:rPr>
        <w:t>3. SPRZĘT</w:t>
      </w:r>
      <w:bookmarkEnd w:id="4"/>
      <w:bookmarkEnd w:id="5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ścinania i uzupełniania poboczy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przystępujący do wykonania robót określonych w niniejszej OST powinien wykazać się możliwością korzystania z następującego sprzętu: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zrywarek, kultywatorów lub bron talerzowych,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równiarek z transporterem (</w:t>
      </w:r>
      <w:proofErr w:type="spellStart"/>
      <w:r w:rsidRPr="00376408">
        <w:rPr>
          <w:rFonts w:ascii="Arial" w:hAnsi="Arial" w:cs="Arial"/>
        </w:rPr>
        <w:t>ścinarki</w:t>
      </w:r>
      <w:proofErr w:type="spellEnd"/>
      <w:r w:rsidRPr="00376408">
        <w:rPr>
          <w:rFonts w:ascii="Arial" w:hAnsi="Arial" w:cs="Arial"/>
        </w:rPr>
        <w:t xml:space="preserve"> poboczy),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równiarek do profilowania,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ładowarek czołowych,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walców,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płytowych zagęszczarek wibracyjnych,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przewoźnych zbiorników na wodę.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6" w:name="_Toc428247151"/>
      <w:bookmarkStart w:id="7" w:name="_Toc501871161"/>
      <w:r w:rsidRPr="00376408">
        <w:rPr>
          <w:rFonts w:ascii="Arial" w:hAnsi="Arial" w:cs="Arial"/>
        </w:rPr>
        <w:t>4. TRANSPORT</w:t>
      </w:r>
      <w:bookmarkEnd w:id="6"/>
      <w:bookmarkEnd w:id="7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materiałów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Przy wykonywaniu robót określonych w niniejszej OST, można korzystać z dowolnych środków transportowych przeznaczonych do przewozu gruntu.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8" w:name="_Toc428247152"/>
      <w:bookmarkStart w:id="9" w:name="_Toc501871162"/>
      <w:r w:rsidRPr="00376408">
        <w:rPr>
          <w:rFonts w:ascii="Arial" w:hAnsi="Arial" w:cs="Arial"/>
        </w:rPr>
        <w:t>5. WYKONANIE ROBÓT</w:t>
      </w:r>
      <w:bookmarkEnd w:id="8"/>
      <w:bookmarkEnd w:id="9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5.2. Ścinanie poboczy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Ścinanie poboczy może być wykonywane ręcznie, za pomocą łopat lub sprzętem mechanicznym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3.2.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Ścinanie poboczy należy przeprowadzić od krawędzi pobocza do krawędzi nawierzchni, zgodnie z założonym w dokumentacji projektowej spadkiem poprzecznym.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Nadmiar gruntu uzyskanego podczas ścinania poboczy należy wywieźć na odkład. Miejsce odkładu należy uzgodnić z Inżynierem.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Grunt pozostały w poboczu należy spulchnić na głębokość od 5 do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>, doprowadzić do wilgotności optymalnej poprzez dodanie wody i zagęścić.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Wskaźnik zagęszczenia określony zgodnie z BN-77/8931-12 [3], powinien wynosić co najmniej 0,98 maksymalnego zagęszczenia, według normalnej metody </w:t>
      </w:r>
      <w:proofErr w:type="spellStart"/>
      <w:r w:rsidRPr="00376408">
        <w:rPr>
          <w:rFonts w:ascii="Arial" w:hAnsi="Arial" w:cs="Arial"/>
        </w:rPr>
        <w:t>Proctora</w:t>
      </w:r>
      <w:proofErr w:type="spellEnd"/>
      <w:r w:rsidRPr="00376408">
        <w:rPr>
          <w:rFonts w:ascii="Arial" w:hAnsi="Arial" w:cs="Arial"/>
        </w:rPr>
        <w:t>, zgodnie z PN-B-04481 [1].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Uzupełnianie poboczy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występowania ubytków (wgłębień) i zaniżenia w poboczach należy je uzupełnić materiałem o właściwościach podobnych do materiału, z którego zostały pobocza wykonane.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Miejsce, w którym wykonywane będzie uzupełnienie, należy spulchnić na głębokość od 2 do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</w:rPr>
          <w:t>3 cm</w:t>
        </w:r>
      </w:smartTag>
      <w:r w:rsidRPr="00376408">
        <w:rPr>
          <w:rFonts w:ascii="Arial" w:hAnsi="Arial" w:cs="Arial"/>
        </w:rPr>
        <w:t>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Wskaźnik zagęszczenia wykonany według BN-77/8931-12 [3] powinien wynosić co najmniej 0,98 maksymalnego zagęszczenia według normalnej próby </w:t>
      </w:r>
      <w:proofErr w:type="spellStart"/>
      <w:r w:rsidRPr="00376408">
        <w:rPr>
          <w:rFonts w:ascii="Arial" w:hAnsi="Arial" w:cs="Arial"/>
        </w:rPr>
        <w:t>Proctora</w:t>
      </w:r>
      <w:proofErr w:type="spellEnd"/>
      <w:r w:rsidRPr="00376408">
        <w:rPr>
          <w:rFonts w:ascii="Arial" w:hAnsi="Arial" w:cs="Arial"/>
        </w:rPr>
        <w:t>, zgodnie z PN-B-04481 [1].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10" w:name="_Toc428247153"/>
      <w:bookmarkStart w:id="11" w:name="_Toc501871163"/>
      <w:r w:rsidRPr="00376408">
        <w:rPr>
          <w:rFonts w:ascii="Arial" w:hAnsi="Arial" w:cs="Arial"/>
        </w:rPr>
        <w:t>6. KONTROLA JAKOŚCI ROBÓT</w:t>
      </w:r>
      <w:bookmarkEnd w:id="10"/>
      <w:bookmarkEnd w:id="11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Badania przed przystąpieniem do robót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przystąpieniem do robót Wykonawca przeprowadzi badania gruntów proponowanych do uzupełnienia poboczy oraz opracuje optymalny skład mieszanki według OST D-05.01.00 „Nawierzchnie gruntowe”, OST D-05.01.01 „Nawierzchnia gruntowa naturalna”.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Badania w czasie robót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Częstotliwość oraz zakres badań i pomiarów w czasie prowadzenia robót  podano w tablicy 1.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E5AED" w:rsidRPr="00376408" w:rsidRDefault="005E5AED" w:rsidP="005E5AED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1. Częstotliwość oraz zakres badań i pomiarów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637"/>
        <w:gridCol w:w="3544"/>
        <w:gridCol w:w="3260"/>
      </w:tblGrid>
      <w:tr w:rsidR="005E5AED" w:rsidRPr="00DC095D" w:rsidTr="00B8596D">
        <w:tc>
          <w:tcPr>
            <w:tcW w:w="637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lastRenderedPageBreak/>
              <w:t> </w:t>
            </w:r>
          </w:p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5E5AED" w:rsidRPr="00DC095D" w:rsidRDefault="005E5AED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Częstotliwość badań</w:t>
            </w:r>
          </w:p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Minimalna liczba badań na dziennej działce roboczej</w:t>
            </w:r>
          </w:p>
        </w:tc>
      </w:tr>
      <w:tr w:rsidR="005E5AED" w:rsidRPr="00DC095D" w:rsidTr="00B8596D">
        <w:tc>
          <w:tcPr>
            <w:tcW w:w="637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 próbki</w:t>
            </w:r>
          </w:p>
        </w:tc>
      </w:tr>
      <w:tr w:rsidR="005E5AED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Wilgotność optymalna mieszanki uzupełniającej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 próbki</w:t>
            </w:r>
          </w:p>
        </w:tc>
      </w:tr>
      <w:tr w:rsidR="005E5AED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Wilgotność optymalna gruntu w ściętym poboczu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 próbki</w:t>
            </w:r>
          </w:p>
        </w:tc>
      </w:tr>
      <w:tr w:rsidR="005E5AED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2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</w:rPr>
                <w:t>1 km</w:t>
              </w:r>
            </w:smartTag>
          </w:p>
        </w:tc>
      </w:tr>
    </w:tbl>
    <w:p w:rsidR="005E5AED" w:rsidRPr="00376408" w:rsidRDefault="005E5AED" w:rsidP="005E5AED">
      <w:pPr>
        <w:pStyle w:val="Nagwek2"/>
        <w:spacing w:before="36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Pomiar cech geometrycznych ścinanych lub uzupełnianych poboczy</w:t>
      </w:r>
    </w:p>
    <w:p w:rsidR="005E5AED" w:rsidRPr="00376408" w:rsidRDefault="005E5AED" w:rsidP="005E5AED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Częstotliwość oraz zakres pomiarów po zakończeniu robót podano w tablicy 2.</w:t>
      </w:r>
    </w:p>
    <w:p w:rsidR="005E5AED" w:rsidRPr="00376408" w:rsidRDefault="005E5AED" w:rsidP="005E5AED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E5AED" w:rsidRPr="00376408" w:rsidRDefault="005E5AED" w:rsidP="005E5AED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 Częstotliwość oraz zakres pomiarów ścinanych lub uzupełnianych poboczy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637"/>
        <w:gridCol w:w="3544"/>
        <w:gridCol w:w="3260"/>
      </w:tblGrid>
      <w:tr w:rsidR="005E5AED" w:rsidRPr="00DC095D" w:rsidTr="00B8596D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  <w:b/>
                <w:bCs/>
              </w:rPr>
              <w:t xml:space="preserve"> </w:t>
            </w: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Minimalna częstotliwość pomiarów</w:t>
            </w:r>
          </w:p>
        </w:tc>
      </w:tr>
      <w:tr w:rsidR="005E5AED" w:rsidRPr="00DC095D" w:rsidTr="00B8596D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2 razy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C095D">
                <w:rPr>
                  <w:rFonts w:ascii="Arial" w:hAnsi="Arial" w:cs="Arial"/>
                </w:rPr>
                <w:t>100 m</w:t>
              </w:r>
            </w:smartTag>
          </w:p>
        </w:tc>
      </w:tr>
      <w:tr w:rsidR="005E5AED" w:rsidRPr="00DC095D" w:rsidTr="00B8596D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24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DC095D">
                <w:rPr>
                  <w:rFonts w:ascii="Arial" w:hAnsi="Arial" w:cs="Arial"/>
                </w:rPr>
                <w:t>50 m</w:t>
              </w:r>
            </w:smartTag>
          </w:p>
        </w:tc>
      </w:tr>
      <w:tr w:rsidR="005E5AED" w:rsidRPr="00DC095D" w:rsidTr="00B8596D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AED" w:rsidRPr="00DC095D" w:rsidRDefault="005E5AED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5AED" w:rsidRPr="00DC095D" w:rsidRDefault="005E5AED" w:rsidP="00B8596D">
            <w:pPr>
              <w:ind w:left="110"/>
              <w:rPr>
                <w:rFonts w:ascii="Arial" w:hAnsi="Arial" w:cs="Arial"/>
              </w:rPr>
            </w:pPr>
          </w:p>
        </w:tc>
      </w:tr>
    </w:tbl>
    <w:p w:rsidR="005E5AED" w:rsidRPr="00376408" w:rsidRDefault="005E5AED" w:rsidP="005E5AED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5E5AED" w:rsidRPr="00376408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6.4.1. </w:t>
      </w:r>
      <w:r w:rsidRPr="00376408">
        <w:rPr>
          <w:rFonts w:ascii="Arial" w:hAnsi="Arial" w:cs="Arial"/>
        </w:rPr>
        <w:t>Spadki poprzeczne poboczy</w:t>
      </w:r>
    </w:p>
    <w:p w:rsidR="005E5AED" w:rsidRPr="00376408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Spadki poprzeczne poboczy powinny być zgodne z dokumentacją projektową, z tolerancją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1%.</w:t>
      </w:r>
    </w:p>
    <w:p w:rsidR="005E5AED" w:rsidRPr="00376408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6.4.2. </w:t>
      </w:r>
      <w:r w:rsidRPr="00376408">
        <w:rPr>
          <w:rFonts w:ascii="Arial" w:hAnsi="Arial" w:cs="Arial"/>
        </w:rPr>
        <w:t>Równość poboczy</w:t>
      </w:r>
    </w:p>
    <w:p w:rsidR="005E5AED" w:rsidRPr="00376408" w:rsidRDefault="005E5AED" w:rsidP="005E5AE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Nierówności podłużne i poprzeczne należy mierzyć łatą 4-metrową wg BN-68/8931-04 [2].  Maksymalny prześwit pod łatą nie może przekraczać </w:t>
      </w:r>
      <w:smartTag w:uri="urn:schemas-microsoft-com:office:smarttags" w:element="metricconverter">
        <w:smartTagPr>
          <w:attr w:name="ProductID" w:val="15 mm"/>
        </w:smartTagPr>
        <w:r w:rsidRPr="00376408">
          <w:rPr>
            <w:rFonts w:ascii="Arial" w:hAnsi="Arial" w:cs="Arial"/>
          </w:rPr>
          <w:t xml:space="preserve">15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12" w:name="_Toc428247154"/>
      <w:bookmarkStart w:id="13" w:name="_Toc501871164"/>
      <w:r w:rsidRPr="00376408">
        <w:rPr>
          <w:rFonts w:ascii="Arial" w:hAnsi="Arial" w:cs="Arial"/>
        </w:rPr>
        <w:t>7. OBMIAR ROBÓT</w:t>
      </w:r>
      <w:bookmarkEnd w:id="12"/>
      <w:bookmarkEnd w:id="13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Jednostką obmiarową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wykonanych robót na poboczach. 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14" w:name="_Toc428247155"/>
      <w:bookmarkStart w:id="15" w:name="_Toc501871165"/>
      <w:r w:rsidRPr="00376408">
        <w:rPr>
          <w:rFonts w:ascii="Arial" w:hAnsi="Arial" w:cs="Arial"/>
        </w:rPr>
        <w:t>8. ODBIÓR ROBÓT</w:t>
      </w:r>
      <w:bookmarkEnd w:id="14"/>
      <w:bookmarkEnd w:id="15"/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16" w:name="_Toc428247156"/>
      <w:bookmarkStart w:id="17" w:name="_Toc501871166"/>
      <w:r w:rsidRPr="00376408">
        <w:rPr>
          <w:rFonts w:ascii="Arial" w:hAnsi="Arial" w:cs="Arial"/>
        </w:rPr>
        <w:t>9. PODSTAWA PŁATNOŚCI</w:t>
      </w:r>
      <w:bookmarkEnd w:id="16"/>
      <w:bookmarkEnd w:id="17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robót obejmuje: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przygotowawcze,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oznakowanie robót,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ścięcie poboczy i zagęszczenie podłoża,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odwiezienie gruntu na odkład,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materiału uzupełniającego,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rozłożenie materiału,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zagęszczenie poboczy,</w:t>
      </w:r>
    </w:p>
    <w:p w:rsidR="005E5AED" w:rsidRPr="00376408" w:rsidRDefault="005E5AED" w:rsidP="005E5AE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pomiarów i badań laboratoryjnych wymaganych w specyfikacji technicznej.</w:t>
      </w:r>
    </w:p>
    <w:p w:rsidR="005E5AED" w:rsidRPr="00376408" w:rsidRDefault="005E5AED" w:rsidP="005E5AED">
      <w:pPr>
        <w:pStyle w:val="Nagwek1"/>
        <w:ind w:left="110"/>
        <w:rPr>
          <w:rFonts w:ascii="Arial" w:hAnsi="Arial" w:cs="Arial"/>
        </w:rPr>
      </w:pPr>
      <w:bookmarkStart w:id="18" w:name="_Toc428247157"/>
      <w:bookmarkStart w:id="19" w:name="_Toc501871167"/>
      <w:r w:rsidRPr="00376408">
        <w:rPr>
          <w:rFonts w:ascii="Arial" w:hAnsi="Arial" w:cs="Arial"/>
        </w:rPr>
        <w:t>10. PRZEPISY ZWIĄZANE</w:t>
      </w:r>
      <w:bookmarkEnd w:id="18"/>
      <w:bookmarkEnd w:id="19"/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10.1. Normy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  PN-B-04481</w:t>
      </w:r>
      <w:r w:rsidRPr="00376408">
        <w:rPr>
          <w:rFonts w:ascii="Arial" w:hAnsi="Arial" w:cs="Arial"/>
        </w:rPr>
        <w:tab/>
        <w:t xml:space="preserve">     Grunty budowlane. Badania laboratoryjne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2.  BN-68/8931-04   Drogi samochodowe. Pomiar równości nawierzchni </w:t>
      </w:r>
      <w:proofErr w:type="spellStart"/>
      <w:r w:rsidRPr="00376408">
        <w:rPr>
          <w:rFonts w:ascii="Arial" w:hAnsi="Arial" w:cs="Arial"/>
        </w:rPr>
        <w:t>planografem</w:t>
      </w:r>
      <w:proofErr w:type="spellEnd"/>
      <w:r w:rsidRPr="00376408">
        <w:rPr>
          <w:rFonts w:ascii="Arial" w:hAnsi="Arial" w:cs="Arial"/>
        </w:rPr>
        <w:t xml:space="preserve"> i łatą</w:t>
      </w:r>
    </w:p>
    <w:p w:rsidR="005E5AED" w:rsidRPr="00376408" w:rsidRDefault="005E5AED" w:rsidP="005E5AED">
      <w:pPr>
        <w:tabs>
          <w:tab w:val="left" w:pos="1701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  BN-77/8931-12   Oznaczenie wskaźnika zagęszczenia gruntu.</w:t>
      </w:r>
    </w:p>
    <w:p w:rsidR="005E5AED" w:rsidRPr="00376408" w:rsidRDefault="005E5AED" w:rsidP="005E5AE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10.2. Inne materiały</w:t>
      </w:r>
    </w:p>
    <w:p w:rsidR="005E5AED" w:rsidRPr="00376408" w:rsidRDefault="005E5AED" w:rsidP="005E5AE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4.  Stanisław </w:t>
      </w:r>
      <w:proofErr w:type="spellStart"/>
      <w:r w:rsidRPr="00376408">
        <w:rPr>
          <w:rFonts w:ascii="Arial" w:hAnsi="Arial" w:cs="Arial"/>
        </w:rPr>
        <w:t>Datka</w:t>
      </w:r>
      <w:proofErr w:type="spellEnd"/>
      <w:r w:rsidRPr="00376408">
        <w:rPr>
          <w:rFonts w:ascii="Arial" w:hAnsi="Arial" w:cs="Arial"/>
        </w:rPr>
        <w:t xml:space="preserve">, Stanisław </w:t>
      </w:r>
      <w:proofErr w:type="spellStart"/>
      <w:r w:rsidRPr="00376408">
        <w:rPr>
          <w:rFonts w:ascii="Arial" w:hAnsi="Arial" w:cs="Arial"/>
        </w:rPr>
        <w:t>Luszawski</w:t>
      </w:r>
      <w:proofErr w:type="spellEnd"/>
      <w:r w:rsidRPr="00376408">
        <w:rPr>
          <w:rFonts w:ascii="Arial" w:hAnsi="Arial" w:cs="Arial"/>
        </w:rPr>
        <w:t>: Drogowe roboty ziemne.</w:t>
      </w:r>
    </w:p>
    <w:p w:rsidR="00F10BE3" w:rsidRPr="005E5AED" w:rsidRDefault="00F10BE3" w:rsidP="005E5AED"/>
    <w:sectPr w:rsidR="00F10BE3" w:rsidRPr="005E5AED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5AED"/>
    <w:rsid w:val="005E5AED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5E5AED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5E5AED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5AED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5AE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5E5AED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5E5AED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Roboty_wyk\d060301.htm" TargetMode="External"/><Relationship Id="rId13" Type="http://schemas.openxmlformats.org/officeDocument/2006/relationships/hyperlink" Target="file:///E:\OST\DROGOWE%20ROBOTY%20INWESTYCYJNE%20%202.12\ost\Roboty_wyk\d0603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Roboty_wyk\d060301.htm" TargetMode="External"/><Relationship Id="rId12" Type="http://schemas.openxmlformats.org/officeDocument/2006/relationships/hyperlink" Target="file:///E:\OST\DROGOWE%20ROBOTY%20INWESTYCYJNE%20%202.12\ost\Roboty_wyk\d060301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Roboty_wyk\d060301.htm" TargetMode="External"/><Relationship Id="rId11" Type="http://schemas.openxmlformats.org/officeDocument/2006/relationships/hyperlink" Target="file:///E:\OST\DROGOWE%20ROBOTY%20INWESTYCYJNE%20%202.12\ost\Roboty_wyk\d060301.htm" TargetMode="External"/><Relationship Id="rId5" Type="http://schemas.openxmlformats.org/officeDocument/2006/relationships/hyperlink" Target="file:///E:\OST\DROGOWE%20ROBOTY%20INWESTYCYJNE%20%202.12\ost\Roboty_wyk\d060301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Roboty_wyk\d060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Roboty_wyk\d060301.htm" TargetMode="External"/><Relationship Id="rId14" Type="http://schemas.openxmlformats.org/officeDocument/2006/relationships/hyperlink" Target="file:///E:\OST\DROGOWE%20ROBOTY%20INWESTYCYJNE%20%202.12\ost\Roboty_wyk\d0603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1351</Words>
  <Characters>8111</Characters>
  <Application>Microsoft Office Word</Application>
  <DocSecurity>0</DocSecurity>
  <Lines>67</Lines>
  <Paragraphs>18</Paragraphs>
  <ScaleCrop>false</ScaleCrop>
  <Company>Praca</Company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2</cp:revision>
  <dcterms:created xsi:type="dcterms:W3CDTF">2016-03-18T11:15:00Z</dcterms:created>
  <dcterms:modified xsi:type="dcterms:W3CDTF">2016-03-18T11:16:00Z</dcterms:modified>
</cp:coreProperties>
</file>