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AB2B4F" w:rsidRDefault="00AB2B4F" w:rsidP="00AB2B4F">
      <w:pPr>
        <w:jc w:val="both"/>
      </w:pPr>
      <w:r>
        <w:rPr>
          <w:b/>
          <w:bCs/>
          <w:sz w:val="32"/>
        </w:rPr>
        <w:t xml:space="preserve">             SZCZEGÓŁOWA SPECYFIKACJA TECHNICZNA</w:t>
      </w:r>
    </w:p>
    <w:p w:rsidR="00AB2B4F" w:rsidRDefault="00AB2B4F" w:rsidP="00AB2B4F">
      <w:pPr>
        <w:rPr>
          <w:b/>
          <w:sz w:val="19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  <w:r>
        <w:rPr>
          <w:b/>
          <w:sz w:val="28"/>
        </w:rPr>
        <w:t>D-03.02.01a</w:t>
      </w:r>
    </w:p>
    <w:p w:rsidR="00AB2B4F" w:rsidRDefault="00AB2B4F" w:rsidP="00AB2B4F">
      <w:pPr>
        <w:jc w:val="center"/>
        <w:rPr>
          <w:b/>
          <w:sz w:val="28"/>
        </w:rPr>
      </w:pPr>
    </w:p>
    <w:p w:rsidR="00AB2B4F" w:rsidRPr="00773D68" w:rsidRDefault="00AB2B4F" w:rsidP="00AB2B4F">
      <w:pPr>
        <w:spacing w:line="360" w:lineRule="auto"/>
        <w:jc w:val="center"/>
        <w:rPr>
          <w:b/>
          <w:sz w:val="28"/>
          <w:szCs w:val="28"/>
        </w:rPr>
      </w:pPr>
      <w:r w:rsidRPr="00773D68">
        <w:rPr>
          <w:b/>
          <w:sz w:val="28"/>
          <w:szCs w:val="28"/>
        </w:rPr>
        <w:t xml:space="preserve">REGULACJA (naprawa) PIONOWA WPUSTÓW </w:t>
      </w:r>
      <w:r>
        <w:rPr>
          <w:b/>
          <w:sz w:val="28"/>
          <w:szCs w:val="28"/>
        </w:rPr>
        <w:t>I STUDNI REWIZYJNYCH ORAZ URZADZEŃ ŚCIEKOWYCH</w:t>
      </w: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7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jc w:val="center"/>
        <w:rPr>
          <w:b/>
          <w:sz w:val="28"/>
        </w:rPr>
      </w:pPr>
    </w:p>
    <w:p w:rsidR="00AB2B4F" w:rsidRDefault="00AB2B4F" w:rsidP="00AB2B4F">
      <w:pPr>
        <w:rPr>
          <w:sz w:val="19"/>
        </w:rPr>
        <w:sectPr w:rsidR="00AB2B4F" w:rsidSect="0091051B">
          <w:pgSz w:w="11907" w:h="16840" w:code="9"/>
          <w:pgMar w:top="1258" w:right="1467" w:bottom="1079" w:left="1440" w:header="1985" w:footer="432" w:gutter="0"/>
          <w:cols w:space="708"/>
          <w:titlePg/>
        </w:sectPr>
      </w:pPr>
    </w:p>
    <w:p w:rsidR="00AB2B4F" w:rsidRDefault="00AB2B4F" w:rsidP="00AB2B4F">
      <w:pPr>
        <w:pStyle w:val="Nagwek1"/>
        <w:rPr>
          <w:rFonts w:ascii="Times New Roman" w:hAnsi="Times New Roman"/>
        </w:rPr>
      </w:pPr>
      <w:r w:rsidRPr="00162FEB">
        <w:rPr>
          <w:rFonts w:ascii="Times New Roman" w:hAnsi="Times New Roman"/>
        </w:rPr>
        <w:lastRenderedPageBreak/>
        <w:t xml:space="preserve"> </w:t>
      </w:r>
      <w:bookmarkStart w:id="0" w:name="_Toc51995829"/>
      <w:r w:rsidRPr="00162FEB">
        <w:rPr>
          <w:rFonts w:ascii="Times New Roman" w:hAnsi="Times New Roman"/>
        </w:rPr>
        <w:t>1. WSTĘP</w:t>
      </w:r>
      <w:bookmarkEnd w:id="0"/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 xml:space="preserve">1.1. Przedmiot </w:t>
      </w:r>
      <w:r>
        <w:rPr>
          <w:rFonts w:ascii="Times New Roman" w:hAnsi="Times New Roman"/>
        </w:rPr>
        <w:t>S</w:t>
      </w:r>
      <w:r w:rsidRPr="00162FEB">
        <w:rPr>
          <w:rFonts w:ascii="Times New Roman" w:hAnsi="Times New Roman"/>
        </w:rPr>
        <w:t>ST</w:t>
      </w:r>
    </w:p>
    <w:p w:rsidR="00AB2B4F" w:rsidRDefault="00AB2B4F" w:rsidP="00AB2B4F">
      <w:pPr>
        <w:ind w:right="-11" w:firstLine="708"/>
        <w:jc w:val="both"/>
      </w:pPr>
      <w:r w:rsidRPr="00636DBA">
        <w:t xml:space="preserve">Przedmiotem niniejszej specyfikacji technicznej są wymagania techniczne dotyczące wykonania i odbioru robót związanych z </w:t>
      </w:r>
      <w:r>
        <w:t>wykonaniem regulacji pionowej studzienki kanalizacyjnej</w:t>
      </w:r>
      <w:r w:rsidRPr="00636DBA">
        <w:t xml:space="preserve"> w związku z wykonaniem </w:t>
      </w:r>
      <w:r>
        <w:t xml:space="preserve">bieżącego utrzymania dróg </w:t>
      </w:r>
      <w:r w:rsidRPr="00636DBA">
        <w:t xml:space="preserve">krajowych administrowanych przez </w:t>
      </w:r>
      <w:proofErr w:type="spellStart"/>
      <w:r w:rsidRPr="00636DBA">
        <w:t>GDDKiA</w:t>
      </w:r>
      <w:proofErr w:type="spellEnd"/>
      <w:r w:rsidRPr="00636DBA">
        <w:t xml:space="preserve"> Od</w:t>
      </w:r>
      <w:r>
        <w:t xml:space="preserve">dział w Warszawie Rejon w Płocku, Obwód Drogowy </w:t>
      </w:r>
    </w:p>
    <w:p w:rsidR="00AB2B4F" w:rsidRPr="00636DBA" w:rsidRDefault="00AB2B4F" w:rsidP="00AB2B4F">
      <w:pPr>
        <w:ind w:right="-11"/>
        <w:jc w:val="both"/>
      </w:pPr>
      <w:r>
        <w:t>w Gostyninie i Ślepkowie Szlacheckim</w:t>
      </w:r>
      <w:r w:rsidRPr="00636DBA">
        <w:t>..</w:t>
      </w:r>
    </w:p>
    <w:p w:rsidR="00AB2B4F" w:rsidRPr="00636DBA" w:rsidRDefault="00AB2B4F" w:rsidP="00AB2B4F">
      <w:pPr>
        <w:pStyle w:val="Nagwek2"/>
        <w:rPr>
          <w:rFonts w:ascii="Times New Roman" w:hAnsi="Times New Roman"/>
        </w:rPr>
      </w:pPr>
      <w:r w:rsidRPr="00636DBA">
        <w:rPr>
          <w:rFonts w:ascii="Times New Roman" w:hAnsi="Times New Roman"/>
        </w:rPr>
        <w:t>1.2. Zakres stosowania SST</w:t>
      </w:r>
    </w:p>
    <w:p w:rsidR="00AB2B4F" w:rsidRPr="00636DBA" w:rsidRDefault="00AB2B4F" w:rsidP="00AB2B4F">
      <w:pPr>
        <w:tabs>
          <w:tab w:val="left" w:pos="0"/>
        </w:tabs>
      </w:pPr>
      <w:r w:rsidRPr="00636DBA">
        <w:tab/>
        <w:t>Szczegółowa specyfikacja techniczna jest stosowana jako dokument przetargowy i kontraktowy przy zlecaniu i realizacji robót wymienionych w punkcie 1.1.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 xml:space="preserve">1.3. Zakres robót objętych </w:t>
      </w:r>
      <w:r>
        <w:rPr>
          <w:rFonts w:ascii="Times New Roman" w:hAnsi="Times New Roman"/>
        </w:rPr>
        <w:t>S</w:t>
      </w:r>
      <w:r w:rsidRPr="00162FEB">
        <w:rPr>
          <w:rFonts w:ascii="Times New Roman" w:hAnsi="Times New Roman"/>
        </w:rPr>
        <w:t>ST</w:t>
      </w:r>
    </w:p>
    <w:p w:rsidR="00AB2B4F" w:rsidRPr="00162FEB" w:rsidRDefault="00AB2B4F" w:rsidP="00AB2B4F">
      <w:pPr>
        <w:tabs>
          <w:tab w:val="left" w:pos="284"/>
          <w:tab w:val="right" w:leader="dot" w:pos="8505"/>
        </w:tabs>
      </w:pPr>
      <w:r w:rsidRPr="00162FEB">
        <w:tab/>
        <w:t xml:space="preserve">  Ustalenia zawarte w niniejszej specyfikacji dotyczą zasad prowadzenia robót związanych z wykonaniem i odbiorem przypowierzchniowej regulacji pionowej uszkodzonych studzienek kanalizacyjnych (np. studzienek rewizyjnych, wpustów ulicznych).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1.4. Określenia podstawowe</w:t>
      </w:r>
    </w:p>
    <w:p w:rsidR="00AB2B4F" w:rsidRDefault="00AB2B4F" w:rsidP="00AB2B4F">
      <w:pPr>
        <w:numPr>
          <w:ilvl w:val="0"/>
          <w:numId w:val="19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Studzienka kanalizacyjna - urządzenie połączone z kanałem, przeznaczone do kontroli lub prawidłowej eksploatacji kanału.</w:t>
      </w:r>
    </w:p>
    <w:p w:rsidR="00AB2B4F" w:rsidRDefault="00AB2B4F" w:rsidP="00AB2B4F">
      <w:pPr>
        <w:numPr>
          <w:ilvl w:val="0"/>
          <w:numId w:val="19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</w:pPr>
      <w:r>
        <w:t xml:space="preserve">Studzienka rewizyjna (kontrolna) - urządzenie do kontroli kanałów </w:t>
      </w:r>
      <w:proofErr w:type="spellStart"/>
      <w:r>
        <w:t>nieprzełazowych</w:t>
      </w:r>
      <w:proofErr w:type="spellEnd"/>
      <w:r>
        <w:t>, ich konserwacji i przewietrzania.</w:t>
      </w:r>
    </w:p>
    <w:p w:rsidR="00AB2B4F" w:rsidRDefault="00AB2B4F" w:rsidP="00AB2B4F">
      <w:pPr>
        <w:numPr>
          <w:ilvl w:val="0"/>
          <w:numId w:val="19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</w:pPr>
      <w:r>
        <w:t xml:space="preserve">Wpust uliczny (wpust ściekowy, studzienka ściekowa) - urządzenie do przejęcia wód opadowych z powierzchni i odprowadzenia poprzez </w:t>
      </w:r>
      <w:proofErr w:type="spellStart"/>
      <w:r>
        <w:t>przykanalik</w:t>
      </w:r>
      <w:proofErr w:type="spellEnd"/>
      <w:r>
        <w:t xml:space="preserve"> do kanalizacji deszczowej lub ogólnospławnej.</w:t>
      </w:r>
    </w:p>
    <w:p w:rsidR="00AB2B4F" w:rsidRDefault="00AB2B4F" w:rsidP="00AB2B4F">
      <w:pPr>
        <w:numPr>
          <w:ilvl w:val="0"/>
          <w:numId w:val="19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</w:pPr>
      <w:r>
        <w:t>Właz studzienki - element żeliwny przeznaczony do przykrycia podziemnych studzienek rewizyjnych, umożliwiający dostęp do urządzeń kanalizacyjnych.</w:t>
      </w:r>
    </w:p>
    <w:p w:rsidR="00AB2B4F" w:rsidRDefault="00AB2B4F" w:rsidP="00AB2B4F">
      <w:pPr>
        <w:numPr>
          <w:ilvl w:val="0"/>
          <w:numId w:val="19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</w:pPr>
      <w:r>
        <w:t>Kratka ściekowa - urządzenie, przez które wody opadowe przedostają się od góry do wpustu ulicznego.</w:t>
      </w:r>
    </w:p>
    <w:p w:rsidR="00AB2B4F" w:rsidRDefault="00AB2B4F" w:rsidP="00AB2B4F">
      <w:pPr>
        <w:numPr>
          <w:ilvl w:val="0"/>
          <w:numId w:val="19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</w:pPr>
      <w:r>
        <w:t>Nasada (żeliwna) z wlewem bocznym (w krawężniku) - urządzenie, przez które wody opadowe przedostają się w płaszczyźnie krawężnika do wpustu ulicznego.</w:t>
      </w:r>
    </w:p>
    <w:p w:rsidR="00AB2B4F" w:rsidRDefault="00AB2B4F" w:rsidP="00AB2B4F">
      <w:pPr>
        <w:tabs>
          <w:tab w:val="left" w:pos="284"/>
          <w:tab w:val="right" w:leader="dot" w:pos="8505"/>
        </w:tabs>
        <w:spacing w:before="120"/>
      </w:pPr>
      <w:r>
        <w:rPr>
          <w:b/>
        </w:rPr>
        <w:t>1.4.7.</w:t>
      </w:r>
      <w:r>
        <w:t xml:space="preserve"> Pozostałe określenia podstawowe są zgodne z obowiązującymi, odpowiednimi polskimi normami i z definicjami podanymi w OST D-M-00.00.00 „Wymagania ogólne” [1] </w:t>
      </w:r>
      <w:proofErr w:type="spellStart"/>
      <w:r>
        <w:t>pkt</w:t>
      </w:r>
      <w:proofErr w:type="spellEnd"/>
      <w:r>
        <w:t xml:space="preserve"> 1.4.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1.5. Ogólne wymagania dotyczące robót</w:t>
      </w:r>
    </w:p>
    <w:p w:rsidR="00AB2B4F" w:rsidRDefault="00AB2B4F" w:rsidP="00AB2B4F">
      <w:pPr>
        <w:tabs>
          <w:tab w:val="left" w:pos="284"/>
          <w:tab w:val="right" w:leader="dot" w:pos="8505"/>
        </w:tabs>
      </w:pPr>
      <w:r>
        <w:tab/>
        <w:t xml:space="preserve">    Ogólne wymagania dotyczące robót podano w OST D-M-00.00.00 „Wymagania ogólne” [1] </w:t>
      </w:r>
      <w:proofErr w:type="spellStart"/>
      <w:r>
        <w:t>pkt</w:t>
      </w:r>
      <w:proofErr w:type="spellEnd"/>
      <w:r>
        <w:t xml:space="preserve"> 1.5.</w:t>
      </w:r>
    </w:p>
    <w:p w:rsidR="00AB2B4F" w:rsidRPr="00162FEB" w:rsidRDefault="00AB2B4F" w:rsidP="00AB2B4F">
      <w:pPr>
        <w:pStyle w:val="Nagwek1"/>
        <w:rPr>
          <w:rFonts w:ascii="Times New Roman" w:hAnsi="Times New Roman"/>
        </w:rPr>
      </w:pPr>
      <w:bookmarkStart w:id="1" w:name="_Toc424534466"/>
      <w:bookmarkStart w:id="2" w:name="_Toc46643997"/>
      <w:bookmarkStart w:id="3" w:name="_Toc51995830"/>
      <w:r w:rsidRPr="00162FEB">
        <w:rPr>
          <w:rFonts w:ascii="Times New Roman" w:hAnsi="Times New Roman"/>
        </w:rPr>
        <w:t>2. MATERIAŁY</w:t>
      </w:r>
      <w:bookmarkEnd w:id="1"/>
      <w:bookmarkEnd w:id="2"/>
      <w:bookmarkEnd w:id="3"/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2.1. Ogólne wymagania dotyczące materiałów</w:t>
      </w:r>
    </w:p>
    <w:p w:rsidR="00AB2B4F" w:rsidRPr="00162FEB" w:rsidRDefault="00AB2B4F" w:rsidP="00AB2B4F">
      <w:pPr>
        <w:tabs>
          <w:tab w:val="left" w:pos="284"/>
          <w:tab w:val="right" w:leader="dot" w:pos="8505"/>
        </w:tabs>
      </w:pPr>
      <w:r w:rsidRPr="00162FEB">
        <w:tab/>
        <w:t xml:space="preserve">     Ogólne wymagania dotyczące materiałów, ich pozyskiwania i składowania, podano w OST D-M-00.00.00 „Wymagania ogólne” [1] </w:t>
      </w:r>
      <w:proofErr w:type="spellStart"/>
      <w:r w:rsidRPr="00162FEB">
        <w:t>pkt</w:t>
      </w:r>
      <w:proofErr w:type="spellEnd"/>
      <w:r w:rsidRPr="00162FEB">
        <w:t xml:space="preserve"> 2.</w:t>
      </w:r>
    </w:p>
    <w:p w:rsidR="00AB2B4F" w:rsidRPr="00162FEB" w:rsidRDefault="00AB2B4F" w:rsidP="00AB2B4F">
      <w:pPr>
        <w:pStyle w:val="Nagwek2"/>
        <w:ind w:left="567" w:hanging="567"/>
        <w:rPr>
          <w:rFonts w:ascii="Times New Roman" w:hAnsi="Times New Roman"/>
        </w:rPr>
      </w:pPr>
      <w:r w:rsidRPr="00162FEB">
        <w:rPr>
          <w:rFonts w:ascii="Times New Roman" w:hAnsi="Times New Roman"/>
        </w:rPr>
        <w:t>2.2. Materiały do wykonania regulacji pionowej uszkodzonej studzienki kanalizacyjnej</w:t>
      </w:r>
    </w:p>
    <w:p w:rsidR="00AB2B4F" w:rsidRDefault="00AB2B4F" w:rsidP="00AB2B4F">
      <w:r>
        <w:tab/>
        <w:t>Do przypowierzchniowej naprawy uszkodzonej studzienki kanalizacyjnej należy użyć:</w:t>
      </w:r>
    </w:p>
    <w:p w:rsidR="00AB2B4F" w:rsidRDefault="00AB2B4F" w:rsidP="00AB2B4F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materiały otrzymane z rozbiórki studzienki oraz z rozbiórki otaczającej nawierzchni, nadające się do ponownego wbudowania,</w:t>
      </w:r>
    </w:p>
    <w:p w:rsidR="00AB2B4F" w:rsidRDefault="00AB2B4F" w:rsidP="00AB2B4F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materiały nowe, będące materiałem uzupełniającym, tego samego typu, gatunku i wymiarów, jak materiał rozbiórkowy, odpowiadające wymaganiom: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D-03.02.01 [2] w przypadku materiałów do naprawy studzienki,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SST, wymienionych w </w:t>
      </w:r>
      <w:proofErr w:type="spellStart"/>
      <w:r>
        <w:t>pkcie</w:t>
      </w:r>
      <w:proofErr w:type="spellEnd"/>
      <w:r>
        <w:t xml:space="preserve"> 5.6 niniejszej specyfikacji, w przypadku materiałów potrzebnych do ułożenia nowej nawierzchni.</w:t>
      </w:r>
    </w:p>
    <w:p w:rsidR="00AB2B4F" w:rsidRPr="00162FEB" w:rsidRDefault="00AB2B4F" w:rsidP="00AB2B4F">
      <w:pPr>
        <w:pStyle w:val="Nagwek1"/>
        <w:numPr>
          <w:ilvl w:val="12"/>
          <w:numId w:val="0"/>
        </w:numPr>
        <w:rPr>
          <w:rFonts w:ascii="Times New Roman" w:hAnsi="Times New Roman"/>
        </w:rPr>
      </w:pPr>
      <w:bookmarkStart w:id="4" w:name="_Toc424534467"/>
      <w:bookmarkStart w:id="5" w:name="_Toc46643998"/>
      <w:bookmarkStart w:id="6" w:name="_Toc51995831"/>
      <w:r w:rsidRPr="00162FEB">
        <w:rPr>
          <w:rFonts w:ascii="Times New Roman" w:hAnsi="Times New Roman"/>
        </w:rPr>
        <w:t>3. SPRZĘT</w:t>
      </w:r>
      <w:bookmarkEnd w:id="4"/>
      <w:bookmarkEnd w:id="5"/>
      <w:bookmarkEnd w:id="6"/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3.1. Ogólne wymagania dotyczące sprzętu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284"/>
          <w:tab w:val="right" w:leader="dot" w:pos="8505"/>
        </w:tabs>
      </w:pPr>
      <w:r w:rsidRPr="00162FEB">
        <w:tab/>
        <w:t xml:space="preserve">     Ogólne wymagania dotyczące sprzętu podano w </w:t>
      </w:r>
      <w:r>
        <w:t>S</w:t>
      </w:r>
      <w:r w:rsidRPr="00162FEB">
        <w:t xml:space="preserve">ST D-M-00.00.00 „Wymagania ogólne” [1] </w:t>
      </w:r>
      <w:proofErr w:type="spellStart"/>
      <w:r w:rsidRPr="00162FEB">
        <w:t>pkt</w:t>
      </w:r>
      <w:proofErr w:type="spellEnd"/>
      <w:r w:rsidRPr="00162FEB">
        <w:t xml:space="preserve"> 3.</w:t>
      </w:r>
    </w:p>
    <w:p w:rsidR="00AB2B4F" w:rsidRPr="00162FEB" w:rsidRDefault="00AB2B4F" w:rsidP="00AB2B4F">
      <w:pPr>
        <w:pStyle w:val="Nagwek2"/>
        <w:numPr>
          <w:ilvl w:val="12"/>
          <w:numId w:val="0"/>
        </w:numPr>
        <w:ind w:left="426" w:hanging="426"/>
        <w:rPr>
          <w:rFonts w:ascii="Times New Roman" w:hAnsi="Times New Roman"/>
        </w:rPr>
      </w:pPr>
      <w:r w:rsidRPr="00162FEB">
        <w:rPr>
          <w:rFonts w:ascii="Times New Roman" w:hAnsi="Times New Roman"/>
        </w:rPr>
        <w:t>3.2. Sprzęt stosowany do wykonania regulacji pionowej uszkodzonej studzienki kanalizacyjnej</w:t>
      </w:r>
    </w:p>
    <w:p w:rsidR="00AB2B4F" w:rsidRDefault="00AB2B4F" w:rsidP="00AB2B4F">
      <w:pPr>
        <w:numPr>
          <w:ilvl w:val="12"/>
          <w:numId w:val="0"/>
        </w:numPr>
        <w:tabs>
          <w:tab w:val="left" w:pos="284"/>
          <w:tab w:val="right" w:leader="dot" w:pos="8505"/>
        </w:tabs>
      </w:pPr>
      <w:r>
        <w:tab/>
        <w:t xml:space="preserve">      Wykonawca przystępujący do wykonania naprawy, powinien wykazać się możliwością korzystania z następującego sprzętu:</w:t>
      </w:r>
    </w:p>
    <w:p w:rsidR="00AB2B4F" w:rsidRDefault="00AB2B4F" w:rsidP="00AB2B4F">
      <w:pPr>
        <w:numPr>
          <w:ilvl w:val="0"/>
          <w:numId w:val="21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piły tarczowej,</w:t>
      </w:r>
    </w:p>
    <w:p w:rsidR="00AB2B4F" w:rsidRDefault="00AB2B4F" w:rsidP="00AB2B4F">
      <w:pPr>
        <w:numPr>
          <w:ilvl w:val="0"/>
          <w:numId w:val="21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młota pneumatycznego,</w:t>
      </w:r>
    </w:p>
    <w:p w:rsidR="00AB2B4F" w:rsidRDefault="00AB2B4F" w:rsidP="00AB2B4F">
      <w:pPr>
        <w:numPr>
          <w:ilvl w:val="0"/>
          <w:numId w:val="21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sprężarki powietrza,</w:t>
      </w:r>
    </w:p>
    <w:p w:rsidR="00AB2B4F" w:rsidRDefault="00AB2B4F" w:rsidP="00AB2B4F">
      <w:pPr>
        <w:numPr>
          <w:ilvl w:val="0"/>
          <w:numId w:val="21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dźwigu samochodowego,</w:t>
      </w:r>
    </w:p>
    <w:p w:rsidR="00AB2B4F" w:rsidRDefault="00AB2B4F" w:rsidP="00AB2B4F">
      <w:pPr>
        <w:numPr>
          <w:ilvl w:val="0"/>
          <w:numId w:val="21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zagęszczarki wibracyjnej,</w:t>
      </w:r>
    </w:p>
    <w:p w:rsidR="00AB2B4F" w:rsidRDefault="00AB2B4F" w:rsidP="00AB2B4F">
      <w:pPr>
        <w:numPr>
          <w:ilvl w:val="0"/>
          <w:numId w:val="21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sprzętu pomocniczego (szczotka, łopata, szablon itp.).</w:t>
      </w:r>
    </w:p>
    <w:p w:rsidR="00AB2B4F" w:rsidRPr="00162FEB" w:rsidRDefault="00AB2B4F" w:rsidP="00AB2B4F">
      <w:pPr>
        <w:pStyle w:val="Nagwek1"/>
        <w:rPr>
          <w:rFonts w:ascii="Times New Roman" w:hAnsi="Times New Roman"/>
        </w:rPr>
      </w:pPr>
      <w:bookmarkStart w:id="7" w:name="_Toc424534468"/>
      <w:bookmarkStart w:id="8" w:name="_Toc46643999"/>
      <w:bookmarkStart w:id="9" w:name="_Toc51995832"/>
      <w:r w:rsidRPr="00162FEB">
        <w:rPr>
          <w:rFonts w:ascii="Times New Roman" w:hAnsi="Times New Roman"/>
        </w:rPr>
        <w:t>4. TRANSPORT</w:t>
      </w:r>
      <w:bookmarkEnd w:id="7"/>
      <w:bookmarkEnd w:id="8"/>
      <w:bookmarkEnd w:id="9"/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 xml:space="preserve">4.1. Ogólne wymagania dotyczące transportu </w:t>
      </w:r>
    </w:p>
    <w:p w:rsidR="00AB2B4F" w:rsidRPr="00162FEB" w:rsidRDefault="00AB2B4F" w:rsidP="00AB2B4F">
      <w:pPr>
        <w:tabs>
          <w:tab w:val="left" w:pos="284"/>
          <w:tab w:val="right" w:leader="dot" w:pos="8505"/>
        </w:tabs>
      </w:pPr>
      <w:r w:rsidRPr="00162FEB">
        <w:tab/>
        <w:t xml:space="preserve">     Ogólne wymagania dotyczące transportu podano w OST D-M-00.00.00 „Wymagania ogólne” [1]  </w:t>
      </w:r>
      <w:proofErr w:type="spellStart"/>
      <w:r w:rsidRPr="00162FEB">
        <w:t>pkt</w:t>
      </w:r>
      <w:proofErr w:type="spellEnd"/>
      <w:r w:rsidRPr="00162FEB">
        <w:t xml:space="preserve"> 4.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4.2. Transport materiałów</w:t>
      </w:r>
    </w:p>
    <w:p w:rsidR="00AB2B4F" w:rsidRPr="00162FEB" w:rsidRDefault="00AB2B4F" w:rsidP="00AB2B4F">
      <w:r w:rsidRPr="00162FEB">
        <w:tab/>
        <w:t>Transport nowych materiałów do wykonania naprawy, powinien odpowiadać wymaganiom określonym w:</w:t>
      </w:r>
    </w:p>
    <w:p w:rsidR="00AB2B4F" w:rsidRPr="00162FEB" w:rsidRDefault="00AB2B4F" w:rsidP="00AB2B4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</w:t>
      </w:r>
      <w:r w:rsidRPr="00162FEB">
        <w:t>ST D-03.02.01 [2], w przypadku materiałów do naprawy studzienki,</w:t>
      </w:r>
    </w:p>
    <w:p w:rsidR="00AB2B4F" w:rsidRPr="00162FEB" w:rsidRDefault="00AB2B4F" w:rsidP="00AB2B4F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</w:t>
      </w:r>
      <w:r w:rsidRPr="00162FEB">
        <w:t xml:space="preserve">ST, wymienionych w </w:t>
      </w:r>
      <w:proofErr w:type="spellStart"/>
      <w:r w:rsidRPr="00162FEB">
        <w:t>pkcie</w:t>
      </w:r>
      <w:proofErr w:type="spellEnd"/>
      <w:r w:rsidRPr="00162FEB">
        <w:t xml:space="preserve"> 5.6 niniejszej specyfikacji, w przypadku materiałów wykorzystywanych do wykonania nowej nawierzchni.</w:t>
      </w:r>
    </w:p>
    <w:p w:rsidR="00AB2B4F" w:rsidRPr="00162FEB" w:rsidRDefault="00AB2B4F" w:rsidP="00AB2B4F">
      <w:pPr>
        <w:pStyle w:val="Nagwek1"/>
        <w:rPr>
          <w:rFonts w:ascii="Times New Roman" w:hAnsi="Times New Roman"/>
        </w:rPr>
      </w:pPr>
      <w:bookmarkStart w:id="10" w:name="_Toc51995833"/>
      <w:r w:rsidRPr="00162FEB">
        <w:rPr>
          <w:rFonts w:ascii="Times New Roman" w:hAnsi="Times New Roman"/>
        </w:rPr>
        <w:t>5. WYKONANIE ROBÓT</w:t>
      </w:r>
      <w:bookmarkEnd w:id="10"/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5.1. Ogólne zasady wykonania robót</w:t>
      </w:r>
    </w:p>
    <w:p w:rsidR="00AB2B4F" w:rsidRPr="00162FEB" w:rsidRDefault="00AB2B4F" w:rsidP="00AB2B4F">
      <w:pPr>
        <w:tabs>
          <w:tab w:val="left" w:pos="284"/>
          <w:tab w:val="right" w:leader="dot" w:pos="8505"/>
        </w:tabs>
      </w:pPr>
      <w:r w:rsidRPr="00162FEB">
        <w:tab/>
        <w:t xml:space="preserve">     Ogólne zasady wykonania robót podano w OST D-M-00.00.00 „Wymagania ogólne” [1] </w:t>
      </w:r>
      <w:proofErr w:type="spellStart"/>
      <w:r w:rsidRPr="00162FEB">
        <w:t>pkt</w:t>
      </w:r>
      <w:proofErr w:type="spellEnd"/>
      <w:r w:rsidRPr="00162FEB">
        <w:t xml:space="preserve"> 5.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5.2. Uszkodzenia zapadniętych studzienek, podlegające naprawie</w:t>
      </w:r>
    </w:p>
    <w:p w:rsidR="00AB2B4F" w:rsidRPr="00162FEB" w:rsidRDefault="00AB2B4F" w:rsidP="00AB2B4F">
      <w:r w:rsidRPr="00162FEB">
        <w:tab/>
        <w:t>Uszkodzenie studzienek urządzeń podziemnych występuje, gdy różnica poziomów pomiędzy:</w:t>
      </w:r>
    </w:p>
    <w:p w:rsidR="00AB2B4F" w:rsidRPr="00162FEB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 w:rsidRPr="00162FEB">
        <w:t xml:space="preserve">kratką wpustu ulicznego a górną powierzchnią warstwy ścieralnej nawierzchni wynosi powyżej </w:t>
      </w:r>
      <w:smartTag w:uri="urn:schemas-microsoft-com:office:smarttags" w:element="metricconverter">
        <w:smartTagPr>
          <w:attr w:name="ProductID" w:val="1,5 cm"/>
        </w:smartTagPr>
        <w:r w:rsidRPr="00162FEB">
          <w:t>1,5 cm</w:t>
        </w:r>
      </w:smartTag>
      <w:r w:rsidRPr="00162FEB">
        <w:t>,</w:t>
      </w:r>
    </w:p>
    <w:p w:rsidR="00AB2B4F" w:rsidRPr="00162FEB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 w:rsidRPr="00162FEB">
        <w:t xml:space="preserve">włazem studzienki a górną powierzchnią nawierzchni wynosi powyżej </w:t>
      </w:r>
      <w:smartTag w:uri="urn:schemas-microsoft-com:office:smarttags" w:element="metricconverter">
        <w:smartTagPr>
          <w:attr w:name="ProductID" w:val="1 cm"/>
        </w:smartTagPr>
        <w:r w:rsidRPr="00162FEB">
          <w:t xml:space="preserve">1 </w:t>
        </w:r>
        <w:proofErr w:type="spellStart"/>
        <w:r w:rsidRPr="00162FEB">
          <w:t>cm</w:t>
        </w:r>
      </w:smartTag>
      <w:proofErr w:type="spellEnd"/>
      <w:r w:rsidRPr="00162FEB">
        <w:t>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5.3. Zasady wykonania naprawy</w:t>
      </w:r>
    </w:p>
    <w:p w:rsidR="00AB2B4F" w:rsidRPr="00162FEB" w:rsidRDefault="00AB2B4F" w:rsidP="00AB2B4F">
      <w:r w:rsidRPr="00162FEB">
        <w:tab/>
        <w:t>Wykonanie naprawy polegającej na regulacji pionowej studzienki, obejmuje:</w:t>
      </w:r>
    </w:p>
    <w:p w:rsidR="00AB2B4F" w:rsidRPr="00162FEB" w:rsidRDefault="00AB2B4F" w:rsidP="00AB2B4F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roboty przygotowawcze</w:t>
      </w:r>
    </w:p>
    <w:p w:rsidR="00AB2B4F" w:rsidRPr="00162FEB" w:rsidRDefault="00AB2B4F" w:rsidP="00AB2B4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rozpoznanie uszkodzenia,</w:t>
      </w:r>
    </w:p>
    <w:p w:rsidR="00AB2B4F" w:rsidRDefault="00AB2B4F" w:rsidP="00AB2B4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wyznaczenie powierzchni podlegającej naprawie,</w:t>
      </w:r>
    </w:p>
    <w:p w:rsidR="00AB2B4F" w:rsidRDefault="00AB2B4F" w:rsidP="00AB2B4F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wykonanie naprawy</w:t>
      </w:r>
    </w:p>
    <w:p w:rsidR="00AB2B4F" w:rsidRDefault="00AB2B4F" w:rsidP="00AB2B4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naprawę uszkodzonej studzienki,</w:t>
      </w:r>
    </w:p>
    <w:p w:rsidR="00AB2B4F" w:rsidRDefault="00AB2B4F" w:rsidP="00AB2B4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ułożenie nowej nawierzchni.</w:t>
      </w:r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5.4. Roboty przygotowawcze</w:t>
      </w:r>
    </w:p>
    <w:p w:rsidR="00AB2B4F" w:rsidRDefault="00AB2B4F" w:rsidP="00AB2B4F">
      <w:pPr>
        <w:numPr>
          <w:ilvl w:val="12"/>
          <w:numId w:val="0"/>
        </w:numPr>
      </w:pPr>
      <w:r>
        <w:tab/>
        <w:t>Rozpoznanie uszkodzenia polega na: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ustaleniu sposobu deformacji studzienki,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określeniu stanu nawierzchni w bezpośrednim otoczeniu studzienki,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wstępnym rozpoznaniu przyczyn uszkodzenia,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rozeznaniu możliwości wykorzystania dotychczasowych elementów urządzenia.</w:t>
      </w:r>
    </w:p>
    <w:p w:rsidR="00AB2B4F" w:rsidRDefault="00AB2B4F" w:rsidP="00AB2B4F">
      <w:r>
        <w:tab/>
        <w:t>Powierzchnia przeznaczona do wykonania naprawy powinna obejmować cały obszar uszkodzonej nawierzchni wokół zapadniętej studzienki. Powierzchni tej należy nadać kształt prostokątnej figury geometrycznej.</w:t>
      </w:r>
    </w:p>
    <w:p w:rsidR="00AB2B4F" w:rsidRDefault="00AB2B4F" w:rsidP="00AB2B4F">
      <w:r>
        <w:tab/>
        <w:t>Powierzchnię przeznaczoną do wykonania naprawy akceptuje Inżynier.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5.5. Wykonanie naprawy uszkodzonej studzienki</w:t>
      </w:r>
    </w:p>
    <w:p w:rsidR="00AB2B4F" w:rsidRDefault="00AB2B4F" w:rsidP="00AB2B4F">
      <w:r>
        <w:tab/>
        <w:t>Jeżeli dokumentacja projektowa lub SST nie przewiduje inaczej, to wykonanie przypowierzchniowej naprawy uszkodzonej studzienki, pod warunkiem zaakceptowania przez Inżyniera, obejmuje: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zdjęcie przykrycia (pokrywy, włazu, kratki ściekowej, nasady z wlewem bocznym) urządzenia podziemnego,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rozebranie uszkodzonej nawierzchni wokół studzienki:</w:t>
      </w:r>
    </w:p>
    <w:p w:rsidR="00AB2B4F" w:rsidRDefault="00AB2B4F" w:rsidP="00AB2B4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ręczne (dłutami, haczykami z drutu, młotkami brukarskimi, ew. drągami stalowymi itp. - w przypadku nawierzchni typu kostkowego),</w:t>
      </w:r>
    </w:p>
    <w:p w:rsidR="00AB2B4F" w:rsidRDefault="00AB2B4F" w:rsidP="00AB2B4F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mechaniczne (w przypadku nawierzchni typu monolitycznego, np. nawierzchni asfaltowej, betonowej) - z pionowym wycięciem krawędzi uszkodzenia piłą tarczową i rozebraniem konstrukcji jezdni przy pomocy młotów pneumatycznych, drągów stalowych itp.,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rozebranie uszkodzonej górnej części studzienki (np. części żeliwnych, płyt żelbetowych pod studzienką, kręgów podporowych itp.),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zebranie i odwiezienie lub odrzucenie elementów nawierzchni i gruzu na pobocze, chodnik lub miejsce składowania, z posortowaniem i zabezpieczeniem materiału przydatnego do dalszych robót,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szczegółowe rozpoznanie przyczyn uszkodzenia i podjęcie końcowej decyzji o sposobie naprawy i wykorzystaniu istniejących materiałów,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sprawdzenie stanu konstrukcji studzienki i oczyszczenie górnej części studzienki (np. nasady wpustu, komina włazowego) z ew. uzupełnieniem ubytków,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w przypadku niewielkiego zapadnięcia - poziomowanie górnej części komina włazowego, nasady wpustu itp. przy użyciu zaprawy cementowo-piaskowej, a w przypadku uszkodzeń większych - wykonanie deskowania oraz ułożenie i zagęszczenie mieszanki betonowej klasy co najmniej B20, według wymiarów dostosowanych do rodzaju uszkodzenia i poziomu powierzchni (jezdni, chodnika, pasa dzielącego itp.), a także rozebranie deskowania,</w:t>
      </w:r>
    </w:p>
    <w:p w:rsidR="00AB2B4F" w:rsidRDefault="00AB2B4F" w:rsidP="00AB2B4F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osadzenie przykrycia studzienki lub kratki ściekowej z wykorzystaniem istniejących lub nowych materiałów oraz ew. wyrównaniem zaprawą cementową.</w:t>
      </w:r>
    </w:p>
    <w:p w:rsidR="00AB2B4F" w:rsidRDefault="00AB2B4F" w:rsidP="00AB2B4F">
      <w:r>
        <w:tab/>
        <w:t xml:space="preserve">W przypadku znacznych zapadnięć studzienki, wynikających z uszkodzeń (zniszczeń) korpusu studzienki, kanałów, </w:t>
      </w:r>
      <w:proofErr w:type="spellStart"/>
      <w:r>
        <w:t>przykanalików</w:t>
      </w:r>
      <w:proofErr w:type="spellEnd"/>
      <w:r>
        <w:t>, elementów dennych, wymycia gruntu itp. - sposób naprawy należy określić indywidualnie i wykonać ją według osobno opracowanej specyfikacji technicznej.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lastRenderedPageBreak/>
        <w:t>5.6. Ułożenie nowej nawierzchni</w:t>
      </w:r>
    </w:p>
    <w:p w:rsidR="00AB2B4F" w:rsidRDefault="00AB2B4F" w:rsidP="00AB2B4F">
      <w:r>
        <w:tab/>
        <w:t>Nową nawierzchnię, wokół naprawionej studzienki, należy wykonać w sposób identyczny ze stanem przed przebudową.</w:t>
      </w:r>
    </w:p>
    <w:p w:rsidR="00AB2B4F" w:rsidRDefault="00AB2B4F" w:rsidP="00AB2B4F">
      <w:r>
        <w:tab/>
        <w:t>Do nawierzchni należy użyć, w największym zakresie, materiał otrzymany z rozbiórki, nadający się do ponownego wbudowania. Nowy uzupełniany materiał powinien być jak najbardziej zbliżony do materiału starego. Zmiany konstrukcji jezdni mogą być dokonane pod warunkiem akceptacji Inżyniera.</w:t>
      </w:r>
    </w:p>
    <w:p w:rsidR="00AB2B4F" w:rsidRDefault="00AB2B4F" w:rsidP="00AB2B4F">
      <w:r>
        <w:tab/>
        <w:t>Przy wykonywaniu podbudowy należy zwracać szczególną uwagę na poprawne jej zagęszczenie wokół komina i kołnierza studzienki. Przy nawierzchni asfaltowej, powierzchnie styku części żeliwnych lub metalowych powinny być pokryte asfaltem.</w:t>
      </w:r>
    </w:p>
    <w:p w:rsidR="00AB2B4F" w:rsidRDefault="00AB2B4F" w:rsidP="00AB2B4F">
      <w:r>
        <w:tab/>
        <w:t>W zależności od rodzaju nawierzchni istniejącej, poszczególne wykonywane podbudowy i warstwy ścieralne mogą odpowiadać wymaganiom określonym w: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D-04.01.01</w:t>
      </w:r>
      <w:r>
        <w:sym w:font="Symbol" w:char="F0B8"/>
      </w:r>
      <w:r>
        <w:t>04.03.01 [3], dla warstw dolnych podbudów,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D-04.04.00</w:t>
      </w:r>
      <w:r>
        <w:sym w:font="Symbol" w:char="F0B8"/>
      </w:r>
      <w:r>
        <w:t>04.04.03 [4], dla podbudów z kruszywa stabilizowanego mechanicznie,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D-04.05.00</w:t>
      </w:r>
      <w:r>
        <w:sym w:font="Symbol" w:char="F0B8"/>
      </w:r>
      <w:r>
        <w:t>04.05.04 [5], dla podbudów z gruntów stabilizowanych spoiwami hydraulicznymi,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D-04.06.01 [6], dla podbudów z chudego betonu,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D-05.03.01a [7], dla nawierzchni z kostki kamiennej,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D-05.03.02a [8], dla nawierzchni klinkierowej,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D-05.03.03a [9], dla nawierzchni z płyt betonowych,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D-05.03.07 [10], dla nawierzchni z asfaltu lanego,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D-05.03.17 [11], dla nawierzchni z mieszanek mineralno-asfaltowych,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SST D-05.03.23b [12], dla nawierzchni z betonowej kostki brukowej,</w:t>
      </w:r>
    </w:p>
    <w:p w:rsidR="00AB2B4F" w:rsidRDefault="00AB2B4F" w:rsidP="00AB2B4F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innych OST, przy stosowaniu innych rodzajów nawierzchni.</w:t>
      </w:r>
    </w:p>
    <w:p w:rsidR="00AB2B4F" w:rsidRDefault="00AB2B4F" w:rsidP="00AB2B4F">
      <w:r>
        <w:tab/>
        <w:t>W przypadku konieczności wymiany krawężnika, naprawiony krawężnik powinien odpowiadać wymaganiom SST D-08.01.01</w:t>
      </w:r>
      <w:r>
        <w:sym w:font="Symbol" w:char="F0B8"/>
      </w:r>
      <w:r>
        <w:t>02 [13].</w:t>
      </w:r>
    </w:p>
    <w:p w:rsidR="00AB2B4F" w:rsidRPr="00162FEB" w:rsidRDefault="00AB2B4F" w:rsidP="00AB2B4F">
      <w:pPr>
        <w:pStyle w:val="Nagwek1"/>
        <w:rPr>
          <w:rFonts w:ascii="Times New Roman" w:hAnsi="Times New Roman"/>
        </w:rPr>
      </w:pPr>
      <w:bookmarkStart w:id="11" w:name="_Toc51995834"/>
      <w:r w:rsidRPr="00162FEB">
        <w:rPr>
          <w:rFonts w:ascii="Times New Roman" w:hAnsi="Times New Roman"/>
        </w:rPr>
        <w:t>6. KONTROLA JAKOŚCI ROBÓT</w:t>
      </w:r>
      <w:bookmarkEnd w:id="11"/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6.1. Ogólne zasady kontroli jakości robót</w:t>
      </w:r>
    </w:p>
    <w:p w:rsidR="00AB2B4F" w:rsidRPr="00162FEB" w:rsidRDefault="00AB2B4F" w:rsidP="00AB2B4F">
      <w:r w:rsidRPr="00162FEB">
        <w:tab/>
        <w:t xml:space="preserve">Ogólne zasady kontroli jakości robót podano w OST D-M-00.00.00 „Wymagania ogólne” [1] </w:t>
      </w:r>
      <w:proofErr w:type="spellStart"/>
      <w:r w:rsidRPr="00162FEB">
        <w:t>pkt</w:t>
      </w:r>
      <w:proofErr w:type="spellEnd"/>
      <w:r w:rsidRPr="00162FEB">
        <w:t xml:space="preserve"> 6.</w:t>
      </w:r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6.2. Badania przed przystąpieniem do robót</w:t>
      </w:r>
    </w:p>
    <w:p w:rsidR="00AB2B4F" w:rsidRPr="00162FEB" w:rsidRDefault="00AB2B4F" w:rsidP="00AB2B4F">
      <w:r w:rsidRPr="00162FEB">
        <w:tab/>
        <w:t>Przed przystąpieniem do robót Wykonawca powinien:</w:t>
      </w:r>
    </w:p>
    <w:p w:rsidR="00AB2B4F" w:rsidRPr="00162FEB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 w:rsidRPr="00162FEB"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AB2B4F" w:rsidRPr="00162FEB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 w:rsidRPr="00162FEB">
        <w:t>sprawdzić cechy zewnętrzne  gotowych materiałów z tworzyw i prefabrykowanych.</w:t>
      </w:r>
    </w:p>
    <w:p w:rsidR="00AB2B4F" w:rsidRPr="00162FEB" w:rsidRDefault="00AB2B4F" w:rsidP="00AB2B4F">
      <w:pPr>
        <w:numPr>
          <w:ilvl w:val="12"/>
          <w:numId w:val="0"/>
        </w:numPr>
      </w:pPr>
      <w:r w:rsidRPr="00162FEB">
        <w:tab/>
        <w:t>Wszystkie dokumenty oraz wyniki badań Wykonawca przedstawia Inżynierowi do akceptacji.</w:t>
      </w:r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6.3. Badania w czasie robót</w:t>
      </w:r>
    </w:p>
    <w:p w:rsidR="00AB2B4F" w:rsidRDefault="00AB2B4F" w:rsidP="00AB2B4F">
      <w:pPr>
        <w:numPr>
          <w:ilvl w:val="12"/>
          <w:numId w:val="0"/>
        </w:numPr>
      </w:pPr>
      <w:r>
        <w:tab/>
        <w:t xml:space="preserve">   Częstotliwość oraz zakres badań i pomiarów, które należy wykonać w czasie robót podaje tablica 1.</w:t>
      </w:r>
    </w:p>
    <w:p w:rsidR="00AB2B4F" w:rsidRDefault="00AB2B4F" w:rsidP="00AB2B4F">
      <w:pPr>
        <w:numPr>
          <w:ilvl w:val="12"/>
          <w:numId w:val="0"/>
        </w:numPr>
        <w:spacing w:after="120"/>
      </w:pPr>
    </w:p>
    <w:p w:rsidR="00AB2B4F" w:rsidRDefault="00AB2B4F" w:rsidP="00AB2B4F">
      <w:pPr>
        <w:numPr>
          <w:ilvl w:val="12"/>
          <w:numId w:val="0"/>
        </w:numPr>
        <w:spacing w:after="120"/>
      </w:pPr>
      <w:r>
        <w:t>Tablica 1. Częstotliwość oraz zakres badań i pomiarów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276"/>
        <w:gridCol w:w="2410"/>
      </w:tblGrid>
      <w:tr w:rsidR="00AB2B4F" w:rsidTr="005D7C76">
        <w:tc>
          <w:tcPr>
            <w:tcW w:w="496" w:type="dxa"/>
            <w:tcBorders>
              <w:bottom w:val="double" w:sz="6" w:space="0" w:color="auto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double" w:sz="6" w:space="0" w:color="auto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Częstotliwość badań</w:t>
            </w:r>
          </w:p>
        </w:tc>
        <w:tc>
          <w:tcPr>
            <w:tcW w:w="2410" w:type="dxa"/>
            <w:tcBorders>
              <w:bottom w:val="double" w:sz="6" w:space="0" w:color="auto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Wartości dopuszczalne</w:t>
            </w:r>
          </w:p>
        </w:tc>
      </w:tr>
      <w:tr w:rsidR="00AB2B4F" w:rsidTr="005D7C76">
        <w:tc>
          <w:tcPr>
            <w:tcW w:w="496" w:type="dxa"/>
            <w:tcBorders>
              <w:top w:val="nil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Wyznaczenie powierzchni przeznaczonej do wykonania naprawy</w:t>
            </w:r>
          </w:p>
        </w:tc>
        <w:tc>
          <w:tcPr>
            <w:tcW w:w="1276" w:type="dxa"/>
            <w:tcBorders>
              <w:top w:val="nil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  <w:tcBorders>
              <w:top w:val="nil"/>
            </w:tcBorders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Niezbędna powierzchnia</w:t>
            </w:r>
          </w:p>
        </w:tc>
      </w:tr>
      <w:tr w:rsidR="00AB2B4F" w:rsidTr="005D7C76">
        <w:tc>
          <w:tcPr>
            <w:tcW w:w="49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AB2B4F" w:rsidRPr="00773D68" w:rsidRDefault="00AB2B4F" w:rsidP="005D7C76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Roboty rozbiórkowe</w:t>
            </w:r>
          </w:p>
        </w:tc>
        <w:tc>
          <w:tcPr>
            <w:tcW w:w="127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Akceptacja nieuszkodzonych materiałów</w:t>
            </w:r>
          </w:p>
        </w:tc>
      </w:tr>
      <w:tr w:rsidR="00AB2B4F" w:rsidTr="005D7C76">
        <w:tc>
          <w:tcPr>
            <w:tcW w:w="49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Szczegółowe rozpoznanie uszkodzenia i decyzja o sposobie naprawy</w:t>
            </w:r>
          </w:p>
        </w:tc>
        <w:tc>
          <w:tcPr>
            <w:tcW w:w="127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Akceptacja Inżyniera</w:t>
            </w:r>
          </w:p>
        </w:tc>
      </w:tr>
      <w:tr w:rsidR="00AB2B4F" w:rsidTr="005D7C76">
        <w:tc>
          <w:tcPr>
            <w:tcW w:w="49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Naprawa studzienki</w:t>
            </w:r>
          </w:p>
        </w:tc>
        <w:tc>
          <w:tcPr>
            <w:tcW w:w="127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Ocena ciągła</w:t>
            </w:r>
          </w:p>
        </w:tc>
        <w:tc>
          <w:tcPr>
            <w:tcW w:w="2410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 xml:space="preserve">Wg </w:t>
            </w:r>
            <w:proofErr w:type="spellStart"/>
            <w:r w:rsidRPr="00773D68">
              <w:rPr>
                <w:sz w:val="20"/>
                <w:szCs w:val="20"/>
              </w:rPr>
              <w:t>pktu</w:t>
            </w:r>
            <w:proofErr w:type="spellEnd"/>
            <w:r w:rsidRPr="00773D68">
              <w:rPr>
                <w:sz w:val="20"/>
                <w:szCs w:val="20"/>
              </w:rPr>
              <w:t xml:space="preserve"> 5.5</w:t>
            </w:r>
          </w:p>
        </w:tc>
      </w:tr>
      <w:tr w:rsidR="00AB2B4F" w:rsidTr="005D7C76">
        <w:tc>
          <w:tcPr>
            <w:tcW w:w="49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Ułożenie nawierzchni</w:t>
            </w:r>
          </w:p>
        </w:tc>
        <w:tc>
          <w:tcPr>
            <w:tcW w:w="127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Ocena ciągła</w:t>
            </w:r>
          </w:p>
        </w:tc>
        <w:tc>
          <w:tcPr>
            <w:tcW w:w="2410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 xml:space="preserve">Wg </w:t>
            </w:r>
            <w:proofErr w:type="spellStart"/>
            <w:r w:rsidRPr="00773D68">
              <w:rPr>
                <w:sz w:val="20"/>
                <w:szCs w:val="20"/>
              </w:rPr>
              <w:t>pktu</w:t>
            </w:r>
            <w:proofErr w:type="spellEnd"/>
            <w:r w:rsidRPr="00773D68">
              <w:rPr>
                <w:sz w:val="20"/>
                <w:szCs w:val="20"/>
              </w:rPr>
              <w:t xml:space="preserve"> 5.6</w:t>
            </w:r>
          </w:p>
        </w:tc>
      </w:tr>
      <w:tr w:rsidR="00AB2B4F" w:rsidTr="005D7C76">
        <w:tc>
          <w:tcPr>
            <w:tcW w:w="49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spacing w:before="120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Położenie studzienki w stosunku do otaczającej nawierzchni</w:t>
            </w:r>
          </w:p>
        </w:tc>
        <w:tc>
          <w:tcPr>
            <w:tcW w:w="1276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</w:p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>1 raz</w:t>
            </w:r>
          </w:p>
        </w:tc>
        <w:tc>
          <w:tcPr>
            <w:tcW w:w="2410" w:type="dxa"/>
          </w:tcPr>
          <w:p w:rsidR="00AB2B4F" w:rsidRPr="00773D68" w:rsidRDefault="00AB2B4F" w:rsidP="005D7C76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773D68">
              <w:rPr>
                <w:sz w:val="20"/>
                <w:szCs w:val="20"/>
              </w:rPr>
              <w:t xml:space="preserve">Kratka ściekowa ok.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773D68">
                <w:rPr>
                  <w:sz w:val="20"/>
                  <w:szCs w:val="20"/>
                </w:rPr>
                <w:t>0,5 cm</w:t>
              </w:r>
            </w:smartTag>
            <w:r w:rsidRPr="00773D68">
              <w:rPr>
                <w:sz w:val="20"/>
                <w:szCs w:val="20"/>
              </w:rPr>
              <w:t xml:space="preserve"> poniżej, właz studzienki - w poziomie nawierzchni</w:t>
            </w:r>
          </w:p>
        </w:tc>
      </w:tr>
    </w:tbl>
    <w:p w:rsidR="00AB2B4F" w:rsidRPr="00162FEB" w:rsidRDefault="00AB2B4F" w:rsidP="00AB2B4F">
      <w:pPr>
        <w:pStyle w:val="Nagwek2"/>
        <w:numPr>
          <w:ilvl w:val="12"/>
          <w:numId w:val="0"/>
        </w:numPr>
        <w:spacing w:before="240"/>
        <w:rPr>
          <w:rFonts w:ascii="Times New Roman" w:hAnsi="Times New Roman"/>
        </w:rPr>
      </w:pPr>
      <w:bookmarkStart w:id="12" w:name="_Toc424534471"/>
      <w:bookmarkStart w:id="13" w:name="_Toc46644002"/>
      <w:r w:rsidRPr="00162FEB">
        <w:rPr>
          <w:rFonts w:ascii="Times New Roman" w:hAnsi="Times New Roman"/>
        </w:rPr>
        <w:t>6.4. Badania wykonanych robót</w:t>
      </w:r>
    </w:p>
    <w:p w:rsidR="00AB2B4F" w:rsidRDefault="00AB2B4F" w:rsidP="00AB2B4F">
      <w:pPr>
        <w:numPr>
          <w:ilvl w:val="12"/>
          <w:numId w:val="0"/>
        </w:numPr>
      </w:pPr>
      <w:r>
        <w:tab/>
        <w:t>Po zakończeniu robót należy sprawdzić wizualnie: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wygląd zewnętrzny wykonanej naprawy w zakresie wyglądu, kształtu, wymiarów, desenia nawierzchni typu kostkowego,</w:t>
      </w:r>
    </w:p>
    <w:p w:rsidR="00AB2B4F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poprawność profilu podłużnego i poprzecznego, nawiązującego do otaczającej nawierzchni i umożliwiającego spływ powierzchniowy wód.</w:t>
      </w:r>
    </w:p>
    <w:p w:rsidR="00AB2B4F" w:rsidRPr="00162FEB" w:rsidRDefault="00AB2B4F" w:rsidP="00AB2B4F">
      <w:pPr>
        <w:pStyle w:val="Nagwek1"/>
        <w:numPr>
          <w:ilvl w:val="12"/>
          <w:numId w:val="0"/>
        </w:numPr>
        <w:rPr>
          <w:rFonts w:ascii="Times New Roman" w:hAnsi="Times New Roman"/>
        </w:rPr>
      </w:pPr>
      <w:bookmarkStart w:id="14" w:name="_Toc51995835"/>
      <w:r w:rsidRPr="00162FEB">
        <w:rPr>
          <w:rFonts w:ascii="Times New Roman" w:hAnsi="Times New Roman"/>
        </w:rPr>
        <w:t>7. OBMIAR ROBÓT</w:t>
      </w:r>
      <w:bookmarkEnd w:id="12"/>
      <w:bookmarkEnd w:id="13"/>
      <w:bookmarkEnd w:id="14"/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7.1. Ogólne zasady obmiaru robót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-709"/>
        </w:tabs>
      </w:pPr>
      <w:r w:rsidRPr="00162FEB">
        <w:tab/>
        <w:t xml:space="preserve">Ogólne zasady obmiaru robót podano w OST D-M-00.00.00 „Wymagania ogólne” [1]  </w:t>
      </w:r>
      <w:proofErr w:type="spellStart"/>
      <w:r w:rsidRPr="00162FEB">
        <w:t>pkt</w:t>
      </w:r>
      <w:proofErr w:type="spellEnd"/>
      <w:r w:rsidRPr="00162FEB">
        <w:t xml:space="preserve"> 7.</w:t>
      </w:r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7.2. Jednostka obmiarowa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-709"/>
        </w:tabs>
      </w:pPr>
      <w:r w:rsidRPr="00162FEB">
        <w:tab/>
        <w:t>Jednostką obmiarową jest  1 obiekt wykonanej naprawionej studzienki.</w:t>
      </w:r>
    </w:p>
    <w:p w:rsidR="00AB2B4F" w:rsidRPr="00162FEB" w:rsidRDefault="00AB2B4F" w:rsidP="00AB2B4F">
      <w:pPr>
        <w:pStyle w:val="Nagwek1"/>
        <w:numPr>
          <w:ilvl w:val="12"/>
          <w:numId w:val="0"/>
        </w:numPr>
        <w:rPr>
          <w:rFonts w:ascii="Times New Roman" w:hAnsi="Times New Roman"/>
        </w:rPr>
      </w:pPr>
      <w:bookmarkStart w:id="15" w:name="_Toc424534472"/>
      <w:bookmarkStart w:id="16" w:name="_Toc46644003"/>
      <w:bookmarkStart w:id="17" w:name="_Toc51995836"/>
      <w:r w:rsidRPr="00162FEB">
        <w:rPr>
          <w:rFonts w:ascii="Times New Roman" w:hAnsi="Times New Roman"/>
        </w:rPr>
        <w:t>8. ODBIÓR ROBÓT</w:t>
      </w:r>
      <w:bookmarkEnd w:id="15"/>
      <w:bookmarkEnd w:id="16"/>
      <w:bookmarkEnd w:id="17"/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8.1. Ogólne zasady odbioru robót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-709"/>
        </w:tabs>
      </w:pPr>
      <w:r w:rsidRPr="00162FEB">
        <w:tab/>
        <w:t xml:space="preserve">Ogólne zasady odbioru robót podano w OST D-M-00.00.00 „Wymagania ogólne” [1] </w:t>
      </w:r>
      <w:proofErr w:type="spellStart"/>
      <w:r w:rsidRPr="00162FEB">
        <w:t>pkt</w:t>
      </w:r>
      <w:proofErr w:type="spellEnd"/>
      <w:r w:rsidRPr="00162FEB">
        <w:t xml:space="preserve"> 8.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-709"/>
        </w:tabs>
      </w:pPr>
      <w:r w:rsidRPr="00162FEB">
        <w:tab/>
        <w:t xml:space="preserve">Roboty uznaje się za wykonane zgodnie z dokumentacją projektową, SST               i wymaganiami Inżyniera, jeżeli wszystkie pomiary i badania z zachowaniem tolerancji wg </w:t>
      </w:r>
      <w:proofErr w:type="spellStart"/>
      <w:r w:rsidRPr="00162FEB">
        <w:t>pkt</w:t>
      </w:r>
      <w:proofErr w:type="spellEnd"/>
      <w:r w:rsidRPr="00162FEB">
        <w:t xml:space="preserve"> 6 dały wyniki pozytywne.</w:t>
      </w:r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8.2. Odbiór robót zanikających i ulegających zakryciu</w:t>
      </w:r>
    </w:p>
    <w:p w:rsidR="00AB2B4F" w:rsidRPr="00162FEB" w:rsidRDefault="00AB2B4F" w:rsidP="00AB2B4F">
      <w:pPr>
        <w:numPr>
          <w:ilvl w:val="12"/>
          <w:numId w:val="0"/>
        </w:numPr>
      </w:pPr>
      <w:r w:rsidRPr="00162FEB">
        <w:tab/>
        <w:t>Odbiorowi robót zanikających i ulegających zakryciu podlegają:</w:t>
      </w:r>
    </w:p>
    <w:p w:rsidR="00AB2B4F" w:rsidRPr="00162FEB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 w:rsidRPr="00162FEB">
        <w:t>roboty rozbiórkowe,</w:t>
      </w:r>
    </w:p>
    <w:p w:rsidR="00AB2B4F" w:rsidRPr="00162FEB" w:rsidRDefault="00AB2B4F" w:rsidP="00AB2B4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283"/>
        <w:jc w:val="both"/>
        <w:textAlignment w:val="baseline"/>
      </w:pPr>
      <w:r w:rsidRPr="00162FEB">
        <w:t>naprawa studzienki.</w:t>
      </w:r>
    </w:p>
    <w:p w:rsidR="00AB2B4F" w:rsidRPr="00162FEB" w:rsidRDefault="00AB2B4F" w:rsidP="00AB2B4F">
      <w:pPr>
        <w:numPr>
          <w:ilvl w:val="12"/>
          <w:numId w:val="0"/>
        </w:numPr>
      </w:pPr>
      <w:r w:rsidRPr="00162FEB">
        <w:tab/>
        <w:t xml:space="preserve">Odbiór tych robót powinien być zgodny z wymaganiami </w:t>
      </w:r>
      <w:proofErr w:type="spellStart"/>
      <w:r w:rsidRPr="00162FEB">
        <w:t>pktu</w:t>
      </w:r>
      <w:proofErr w:type="spellEnd"/>
      <w:r w:rsidRPr="00162FEB">
        <w:t xml:space="preserve"> 8.2 D-M-00.00.00 „Wymagania ogólne” [1] oraz niniejszej OST.</w:t>
      </w:r>
    </w:p>
    <w:p w:rsidR="00AB2B4F" w:rsidRPr="00162FEB" w:rsidRDefault="00AB2B4F" w:rsidP="00AB2B4F">
      <w:pPr>
        <w:pStyle w:val="Nagwek1"/>
        <w:numPr>
          <w:ilvl w:val="12"/>
          <w:numId w:val="0"/>
        </w:numPr>
        <w:rPr>
          <w:rFonts w:ascii="Times New Roman" w:hAnsi="Times New Roman"/>
        </w:rPr>
      </w:pPr>
      <w:bookmarkStart w:id="18" w:name="_Toc424534473"/>
      <w:bookmarkStart w:id="19" w:name="_Toc46644004"/>
      <w:bookmarkStart w:id="20" w:name="_Toc51995837"/>
      <w:r w:rsidRPr="00162FEB">
        <w:rPr>
          <w:rFonts w:ascii="Times New Roman" w:hAnsi="Times New Roman"/>
        </w:rPr>
        <w:t>9. PODSTAWA PŁATNOŚCI</w:t>
      </w:r>
      <w:bookmarkEnd w:id="18"/>
      <w:bookmarkEnd w:id="19"/>
      <w:bookmarkEnd w:id="20"/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9.1. Ogólne ustalenia dotyczące podstawy płatności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-709"/>
        </w:tabs>
      </w:pPr>
      <w:r w:rsidRPr="00162FEB">
        <w:t xml:space="preserve">         Ogólne  ustalenia  dotyczące  podstawy  płatności  podano   w </w:t>
      </w:r>
      <w:r w:rsidRPr="00162FEB">
        <w:rPr>
          <w:b/>
        </w:rPr>
        <w:t xml:space="preserve"> </w:t>
      </w:r>
      <w:r w:rsidRPr="00162FEB">
        <w:t xml:space="preserve">OST D-M-00.00.00 [1]  „Wymagania ogólne” </w:t>
      </w:r>
      <w:proofErr w:type="spellStart"/>
      <w:r w:rsidRPr="00162FEB">
        <w:t>pkt</w:t>
      </w:r>
      <w:proofErr w:type="spellEnd"/>
      <w:r w:rsidRPr="00162FEB">
        <w:t xml:space="preserve"> 9.</w:t>
      </w:r>
    </w:p>
    <w:p w:rsidR="00AB2B4F" w:rsidRPr="00162FEB" w:rsidRDefault="00AB2B4F" w:rsidP="00AB2B4F">
      <w:pPr>
        <w:pStyle w:val="Nagwek2"/>
        <w:numPr>
          <w:ilvl w:val="12"/>
          <w:numId w:val="0"/>
        </w:numPr>
        <w:rPr>
          <w:rFonts w:ascii="Times New Roman" w:hAnsi="Times New Roman"/>
        </w:rPr>
      </w:pPr>
      <w:r w:rsidRPr="00162FEB">
        <w:rPr>
          <w:rFonts w:ascii="Times New Roman" w:hAnsi="Times New Roman"/>
        </w:rPr>
        <w:t>9.2. Cena jednostki obmiarowej</w:t>
      </w:r>
    </w:p>
    <w:p w:rsidR="00AB2B4F" w:rsidRPr="00162FEB" w:rsidRDefault="00AB2B4F" w:rsidP="00AB2B4F">
      <w:pPr>
        <w:numPr>
          <w:ilvl w:val="12"/>
          <w:numId w:val="0"/>
        </w:numPr>
        <w:tabs>
          <w:tab w:val="left" w:pos="-709"/>
        </w:tabs>
      </w:pPr>
      <w:r w:rsidRPr="00162FEB">
        <w:tab/>
        <w:t>Cena wykonania regulacji pionowej studzienki obejmuje: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prace pomiarowe i roboty przygotowawcze,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oznakowanie robót,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roboty rozbiórkowe,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lastRenderedPageBreak/>
        <w:t>dostarczenie materiałów i sprzętu,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wykonanie naprawy studzienki,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ułożenie nawierzchni,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jc w:val="both"/>
        <w:textAlignment w:val="baseline"/>
      </w:pPr>
      <w:r w:rsidRPr="00162FEB">
        <w:t>odwiezienie nieprzydatnych materiałów rozbiórkowych na składowisko,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162FEB">
        <w:t>przeprowadzenie pomiarów i badań wymaganych w niniejszej specyfikacji technicznej,</w:t>
      </w:r>
    </w:p>
    <w:p w:rsidR="00AB2B4F" w:rsidRPr="00162FEB" w:rsidRDefault="00AB2B4F" w:rsidP="00AB2B4F">
      <w:pPr>
        <w:numPr>
          <w:ilvl w:val="0"/>
          <w:numId w:val="17"/>
        </w:numPr>
        <w:tabs>
          <w:tab w:val="left" w:pos="-709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162FEB">
        <w:t>odwiezienie sprzętu.</w:t>
      </w:r>
    </w:p>
    <w:p w:rsidR="00AB2B4F" w:rsidRPr="00162FEB" w:rsidRDefault="00AB2B4F" w:rsidP="00AB2B4F">
      <w:pPr>
        <w:pStyle w:val="Nagwek1"/>
        <w:rPr>
          <w:rFonts w:ascii="Times New Roman" w:hAnsi="Times New Roman"/>
        </w:rPr>
      </w:pPr>
      <w:bookmarkStart w:id="21" w:name="_Toc424534474"/>
      <w:bookmarkStart w:id="22" w:name="_Toc46644005"/>
      <w:bookmarkStart w:id="23" w:name="_Toc51995838"/>
      <w:r w:rsidRPr="00162FEB">
        <w:rPr>
          <w:rFonts w:ascii="Times New Roman" w:hAnsi="Times New Roman"/>
        </w:rPr>
        <w:t>10. PRZEPISY ZWIĄZANE</w:t>
      </w:r>
      <w:bookmarkEnd w:id="21"/>
      <w:bookmarkEnd w:id="22"/>
      <w:bookmarkEnd w:id="23"/>
    </w:p>
    <w:p w:rsidR="00AB2B4F" w:rsidRPr="00162FEB" w:rsidRDefault="00AB2B4F" w:rsidP="00AB2B4F">
      <w:pPr>
        <w:pStyle w:val="Nagwek2"/>
        <w:rPr>
          <w:rFonts w:ascii="Times New Roman" w:hAnsi="Times New Roman"/>
        </w:rPr>
      </w:pPr>
      <w:r w:rsidRPr="00162FEB">
        <w:rPr>
          <w:rFonts w:ascii="Times New Roman" w:hAnsi="Times New Roman"/>
        </w:rPr>
        <w:t>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1.</w:t>
            </w:r>
          </w:p>
        </w:tc>
        <w:tc>
          <w:tcPr>
            <w:tcW w:w="1984" w:type="dxa"/>
          </w:tcPr>
          <w:p w:rsidR="00AB2B4F" w:rsidRDefault="00AB2B4F" w:rsidP="005D7C76">
            <w:r>
              <w:t>D-M-00.00.00</w:t>
            </w:r>
          </w:p>
        </w:tc>
        <w:tc>
          <w:tcPr>
            <w:tcW w:w="5030" w:type="dxa"/>
          </w:tcPr>
          <w:p w:rsidR="00AB2B4F" w:rsidRDefault="00AB2B4F" w:rsidP="005D7C76">
            <w:r>
              <w:t>Wymagania ogólne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:rsidR="00AB2B4F" w:rsidRDefault="00AB2B4F" w:rsidP="005D7C76">
            <w:r>
              <w:t>D-03.02.01</w:t>
            </w:r>
          </w:p>
        </w:tc>
        <w:tc>
          <w:tcPr>
            <w:tcW w:w="5030" w:type="dxa"/>
          </w:tcPr>
          <w:p w:rsidR="00AB2B4F" w:rsidRDefault="00AB2B4F" w:rsidP="005D7C76">
            <w:r>
              <w:t>Kanalizacja deszczowa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3.</w:t>
            </w:r>
          </w:p>
        </w:tc>
        <w:tc>
          <w:tcPr>
            <w:tcW w:w="1984" w:type="dxa"/>
          </w:tcPr>
          <w:p w:rsidR="00AB2B4F" w:rsidRDefault="00AB2B4F" w:rsidP="005D7C76">
            <w:r>
              <w:t>D-04.01.01</w:t>
            </w:r>
            <w:r>
              <w:sym w:font="Symbol" w:char="F0B8"/>
            </w:r>
            <w:r>
              <w:t>04.03.01</w:t>
            </w:r>
          </w:p>
        </w:tc>
        <w:tc>
          <w:tcPr>
            <w:tcW w:w="5030" w:type="dxa"/>
          </w:tcPr>
          <w:p w:rsidR="00AB2B4F" w:rsidRDefault="00AB2B4F" w:rsidP="005D7C76">
            <w:r>
              <w:t>Dolne warstwy podbudów oraz oczyszczenie i skropienie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4.</w:t>
            </w:r>
          </w:p>
        </w:tc>
        <w:tc>
          <w:tcPr>
            <w:tcW w:w="1984" w:type="dxa"/>
          </w:tcPr>
          <w:p w:rsidR="00AB2B4F" w:rsidRDefault="00AB2B4F" w:rsidP="005D7C76">
            <w:r>
              <w:t>D-04.04.00</w:t>
            </w:r>
            <w:r>
              <w:sym w:font="Symbol" w:char="F0B8"/>
            </w:r>
            <w:r>
              <w:t>04.04.03</w:t>
            </w:r>
          </w:p>
        </w:tc>
        <w:tc>
          <w:tcPr>
            <w:tcW w:w="5030" w:type="dxa"/>
          </w:tcPr>
          <w:p w:rsidR="00AB2B4F" w:rsidRDefault="00AB2B4F" w:rsidP="005D7C76">
            <w:r>
              <w:t>Podbudowy z kruszywa stabilizowanego mechanicznie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5.</w:t>
            </w:r>
          </w:p>
        </w:tc>
        <w:tc>
          <w:tcPr>
            <w:tcW w:w="1984" w:type="dxa"/>
          </w:tcPr>
          <w:p w:rsidR="00AB2B4F" w:rsidRDefault="00AB2B4F" w:rsidP="005D7C76">
            <w:r>
              <w:t>D-04.05.00</w:t>
            </w:r>
            <w:r>
              <w:sym w:font="Symbol" w:char="F0B8"/>
            </w:r>
            <w:r>
              <w:t>04.05.04</w:t>
            </w:r>
          </w:p>
        </w:tc>
        <w:tc>
          <w:tcPr>
            <w:tcW w:w="5030" w:type="dxa"/>
          </w:tcPr>
          <w:p w:rsidR="00AB2B4F" w:rsidRDefault="00AB2B4F" w:rsidP="005D7C76">
            <w:r>
              <w:t>Podbudowy i ulepszone podłoża z gruntów lub kruszyw stabilizowanych spoiwami hydraulicznymi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6.</w:t>
            </w:r>
          </w:p>
        </w:tc>
        <w:tc>
          <w:tcPr>
            <w:tcW w:w="1984" w:type="dxa"/>
          </w:tcPr>
          <w:p w:rsidR="00AB2B4F" w:rsidRDefault="00AB2B4F" w:rsidP="005D7C76">
            <w:r>
              <w:t>D-04.06.01</w:t>
            </w:r>
          </w:p>
        </w:tc>
        <w:tc>
          <w:tcPr>
            <w:tcW w:w="5030" w:type="dxa"/>
          </w:tcPr>
          <w:p w:rsidR="00AB2B4F" w:rsidRDefault="00AB2B4F" w:rsidP="005D7C76">
            <w:r>
              <w:t>Podbudowa z chudego betonu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7.</w:t>
            </w:r>
          </w:p>
        </w:tc>
        <w:tc>
          <w:tcPr>
            <w:tcW w:w="1984" w:type="dxa"/>
          </w:tcPr>
          <w:p w:rsidR="00AB2B4F" w:rsidRDefault="00AB2B4F" w:rsidP="005D7C76">
            <w:r>
              <w:t>D-05.03.01a</w:t>
            </w:r>
          </w:p>
        </w:tc>
        <w:tc>
          <w:tcPr>
            <w:tcW w:w="5030" w:type="dxa"/>
          </w:tcPr>
          <w:p w:rsidR="00AB2B4F" w:rsidRDefault="00AB2B4F" w:rsidP="005D7C76">
            <w:r>
              <w:t>Remont  cząstkowy nawierzchni z kostki kamiennej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8.</w:t>
            </w:r>
          </w:p>
        </w:tc>
        <w:tc>
          <w:tcPr>
            <w:tcW w:w="1984" w:type="dxa"/>
          </w:tcPr>
          <w:p w:rsidR="00AB2B4F" w:rsidRDefault="00AB2B4F" w:rsidP="005D7C76">
            <w:r>
              <w:t>D-05.03.02a</w:t>
            </w:r>
          </w:p>
        </w:tc>
        <w:tc>
          <w:tcPr>
            <w:tcW w:w="5030" w:type="dxa"/>
          </w:tcPr>
          <w:p w:rsidR="00AB2B4F" w:rsidRDefault="00AB2B4F" w:rsidP="005D7C76">
            <w:r>
              <w:t>Remont cząstkowy nawierzchni klinkierowej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9.</w:t>
            </w:r>
          </w:p>
        </w:tc>
        <w:tc>
          <w:tcPr>
            <w:tcW w:w="1984" w:type="dxa"/>
          </w:tcPr>
          <w:p w:rsidR="00AB2B4F" w:rsidRDefault="00AB2B4F" w:rsidP="005D7C76">
            <w:r>
              <w:t>D-05.03.03a</w:t>
            </w:r>
          </w:p>
        </w:tc>
        <w:tc>
          <w:tcPr>
            <w:tcW w:w="5030" w:type="dxa"/>
          </w:tcPr>
          <w:p w:rsidR="00AB2B4F" w:rsidRDefault="00AB2B4F" w:rsidP="005D7C76">
            <w:r>
              <w:t>Remont cząstkowy nawierzchni z płyt betonowych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10.</w:t>
            </w:r>
          </w:p>
        </w:tc>
        <w:tc>
          <w:tcPr>
            <w:tcW w:w="1984" w:type="dxa"/>
          </w:tcPr>
          <w:p w:rsidR="00AB2B4F" w:rsidRDefault="00AB2B4F" w:rsidP="005D7C76">
            <w:r>
              <w:t>D-05.03.07</w:t>
            </w:r>
          </w:p>
        </w:tc>
        <w:tc>
          <w:tcPr>
            <w:tcW w:w="5030" w:type="dxa"/>
          </w:tcPr>
          <w:p w:rsidR="00AB2B4F" w:rsidRDefault="00AB2B4F" w:rsidP="005D7C76">
            <w:r>
              <w:t>Nawierzchni z asfaltu lanego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11.</w:t>
            </w:r>
          </w:p>
        </w:tc>
        <w:tc>
          <w:tcPr>
            <w:tcW w:w="1984" w:type="dxa"/>
          </w:tcPr>
          <w:p w:rsidR="00AB2B4F" w:rsidRDefault="00AB2B4F" w:rsidP="005D7C76">
            <w:r>
              <w:t>D-05.03.17</w:t>
            </w:r>
          </w:p>
        </w:tc>
        <w:tc>
          <w:tcPr>
            <w:tcW w:w="5030" w:type="dxa"/>
          </w:tcPr>
          <w:p w:rsidR="00AB2B4F" w:rsidRDefault="00AB2B4F" w:rsidP="005D7C76">
            <w:r>
              <w:t>Remont cząstkowy nawierzchni bitumicznych</w:t>
            </w:r>
          </w:p>
        </w:tc>
      </w:tr>
      <w:tr w:rsidR="00AB2B4F" w:rsidTr="005D7C76"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12.</w:t>
            </w:r>
          </w:p>
        </w:tc>
        <w:tc>
          <w:tcPr>
            <w:tcW w:w="1984" w:type="dxa"/>
          </w:tcPr>
          <w:p w:rsidR="00AB2B4F" w:rsidRDefault="00AB2B4F" w:rsidP="005D7C76">
            <w:r>
              <w:t>D-05.03.23b</w:t>
            </w:r>
          </w:p>
        </w:tc>
        <w:tc>
          <w:tcPr>
            <w:tcW w:w="5030" w:type="dxa"/>
          </w:tcPr>
          <w:p w:rsidR="00AB2B4F" w:rsidRDefault="00AB2B4F" w:rsidP="005D7C76">
            <w:r>
              <w:t>Remont cząstkowy nawierzchni z betonowej kostki brukowej</w:t>
            </w:r>
          </w:p>
        </w:tc>
      </w:tr>
      <w:tr w:rsidR="00AB2B4F" w:rsidTr="005D7C76">
        <w:trPr>
          <w:trHeight w:val="508"/>
        </w:trPr>
        <w:tc>
          <w:tcPr>
            <w:tcW w:w="496" w:type="dxa"/>
          </w:tcPr>
          <w:p w:rsidR="00AB2B4F" w:rsidRDefault="00AB2B4F" w:rsidP="005D7C76">
            <w:pPr>
              <w:jc w:val="center"/>
            </w:pPr>
            <w:r>
              <w:t>13.</w:t>
            </w:r>
          </w:p>
          <w:p w:rsidR="00AB2B4F" w:rsidRPr="00375671" w:rsidRDefault="00AB2B4F" w:rsidP="005D7C76"/>
        </w:tc>
        <w:tc>
          <w:tcPr>
            <w:tcW w:w="1984" w:type="dxa"/>
          </w:tcPr>
          <w:p w:rsidR="00AB2B4F" w:rsidRDefault="00AB2B4F" w:rsidP="005D7C76">
            <w:r>
              <w:t>D-08.01.01</w:t>
            </w:r>
            <w:r>
              <w:sym w:font="Symbol" w:char="F0B8"/>
            </w:r>
            <w:r>
              <w:t>02</w:t>
            </w:r>
          </w:p>
        </w:tc>
        <w:tc>
          <w:tcPr>
            <w:tcW w:w="5030" w:type="dxa"/>
          </w:tcPr>
          <w:p w:rsidR="00AB2B4F" w:rsidRDefault="00AB2B4F" w:rsidP="005D7C76">
            <w:r>
              <w:t>Krawężniki</w:t>
            </w:r>
          </w:p>
          <w:p w:rsidR="00AB2B4F" w:rsidRDefault="00AB2B4F" w:rsidP="005D7C76"/>
        </w:tc>
      </w:tr>
    </w:tbl>
    <w:p w:rsidR="00F10BE3" w:rsidRPr="00AB2B4F" w:rsidRDefault="00F10BE3" w:rsidP="00AB2B4F"/>
    <w:sectPr w:rsidR="00F10BE3" w:rsidRPr="00AB2B4F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7AE4254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1ED5DA6"/>
    <w:multiLevelType w:val="singleLevel"/>
    <w:tmpl w:val="F6CA2A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4CF0513"/>
    <w:multiLevelType w:val="singleLevel"/>
    <w:tmpl w:val="91889CEE"/>
    <w:lvl w:ilvl="0">
      <w:start w:val="1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4">
    <w:nsid w:val="1AB00BCD"/>
    <w:multiLevelType w:val="singleLevel"/>
    <w:tmpl w:val="EE6A04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BEC632E"/>
    <w:multiLevelType w:val="singleLevel"/>
    <w:tmpl w:val="461E76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">
    <w:nsid w:val="1EB70E15"/>
    <w:multiLevelType w:val="singleLevel"/>
    <w:tmpl w:val="F872BFEE"/>
    <w:lvl w:ilvl="0">
      <w:start w:val="2"/>
      <w:numFmt w:val="decimal"/>
      <w:lvlText w:val="1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7">
    <w:nsid w:val="32400FE1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338F2F79"/>
    <w:multiLevelType w:val="singleLevel"/>
    <w:tmpl w:val="D3AC0210"/>
    <w:lvl w:ilvl="0">
      <w:start w:val="2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9">
    <w:nsid w:val="34067CAE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BCE080C"/>
    <w:multiLevelType w:val="singleLevel"/>
    <w:tmpl w:val="EE6A04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C776BCB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F4F76EE"/>
    <w:multiLevelType w:val="singleLevel"/>
    <w:tmpl w:val="D23829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3">
    <w:nsid w:val="4303049A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590C70F0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5FD773C8"/>
    <w:multiLevelType w:val="singleLevel"/>
    <w:tmpl w:val="336888F8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16">
    <w:nsid w:val="65EE23CC"/>
    <w:multiLevelType w:val="singleLevel"/>
    <w:tmpl w:val="EE6A04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69D972D2"/>
    <w:multiLevelType w:val="singleLevel"/>
    <w:tmpl w:val="462452DA"/>
    <w:lvl w:ilvl="0">
      <w:start w:val="2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18">
    <w:nsid w:val="71C7427B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744C6725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79C54978"/>
    <w:multiLevelType w:val="singleLevel"/>
    <w:tmpl w:val="8DB0202E"/>
    <w:lvl w:ilvl="0">
      <w:start w:val="3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1">
    <w:nsid w:val="7A60095A"/>
    <w:multiLevelType w:val="singleLevel"/>
    <w:tmpl w:val="E386099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6"/>
    <w:lvlOverride w:ilvl="0">
      <w:startOverride w:val="2"/>
    </w:lvlOverride>
  </w:num>
  <w:num w:numId="3">
    <w:abstractNumId w:val="1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7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21"/>
    <w:lvlOverride w:ilvl="0">
      <w:startOverride w:val="1"/>
    </w:lvlOverride>
  </w:num>
  <w:num w:numId="8">
    <w:abstractNumId w:val="8"/>
    <w:lvlOverride w:ilvl="0">
      <w:startOverride w:val="2"/>
    </w:lvlOverride>
  </w:num>
  <w:num w:numId="9">
    <w:abstractNumId w:val="11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1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19">
    <w:abstractNumId w:val="12"/>
  </w:num>
  <w:num w:numId="20">
    <w:abstractNumId w:val="16"/>
  </w:num>
  <w:num w:numId="2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22">
    <w:abstractNumId w:val="4"/>
  </w:num>
  <w:num w:numId="23">
    <w:abstractNumId w:val="5"/>
  </w:num>
  <w:num w:numId="2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25">
    <w:abstractNumId w:val="2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56364"/>
    <w:rsid w:val="000054F3"/>
    <w:rsid w:val="00156364"/>
    <w:rsid w:val="003B0FAB"/>
    <w:rsid w:val="005747C7"/>
    <w:rsid w:val="00762B4E"/>
    <w:rsid w:val="00AB2B4F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156364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156364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364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36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156364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156364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tekstost">
    <w:name w:val="tekst ost"/>
    <w:basedOn w:val="Normalny"/>
    <w:rsid w:val="00156364"/>
    <w:pPr>
      <w:overflowPunct w:val="0"/>
      <w:adjustRightInd w:val="0"/>
      <w:jc w:val="both"/>
    </w:pPr>
    <w:rPr>
      <w:rFonts w:ascii="Calibri" w:hAnsi="Calibri"/>
      <w:sz w:val="20"/>
      <w:szCs w:val="20"/>
    </w:rPr>
  </w:style>
  <w:style w:type="paragraph" w:styleId="Listapunktowana">
    <w:name w:val="List Bullet"/>
    <w:basedOn w:val="Normalny"/>
    <w:autoRedefine/>
    <w:rsid w:val="00AB2B4F"/>
    <w:pPr>
      <w:autoSpaceDE w:val="0"/>
      <w:autoSpaceDN w:val="0"/>
      <w:adjustRightInd w:val="0"/>
      <w:ind w:left="397" w:right="-58" w:hanging="397"/>
      <w:jc w:val="both"/>
    </w:pPr>
    <w:rPr>
      <w:color w:val="0000FF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1884</Words>
  <Characters>11309</Characters>
  <Application>Microsoft Office Word</Application>
  <DocSecurity>0</DocSecurity>
  <Lines>94</Lines>
  <Paragraphs>26</Paragraphs>
  <ScaleCrop>false</ScaleCrop>
  <Company>Praca</Company>
  <LinksUpToDate>false</LinksUpToDate>
  <CharactersWithSpaces>13167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Bartosz</cp:lastModifiedBy>
  <cp:revision>5</cp:revision>
  <dcterms:created xsi:type="dcterms:W3CDTF">2016-03-18T11:51:00Z</dcterms:created>
  <dcterms:modified xsi:type="dcterms:W3CDTF">2016-03-21T10:21:00Z</dcterms:modified>
</cp:coreProperties>
</file>